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001E5A1D" w:rsidP="001E5A1D" w:rsidRDefault="001E5A1D" w14:paraId="5635FA4D" w14:textId="77777777">
      <w:pPr>
        <w:pStyle w:val="paragraph"/>
        <w:spacing w:before="0" w:beforeAutospacing="0" w:after="0" w:afterAutospacing="0"/>
        <w:jc w:val="center"/>
        <w:textAlignment w:val="baseline"/>
        <w:rPr>
          <w:rFonts w:ascii="Arial" w:hAnsi="Arial" w:cs="Arial"/>
          <w:b/>
          <w:bCs/>
          <w:sz w:val="22"/>
          <w:szCs w:val="22"/>
          <w:lang w:val="en-US"/>
        </w:rPr>
      </w:pPr>
    </w:p>
    <w:p w:rsidR="001E5A1D" w:rsidP="001E5A1D" w:rsidRDefault="001E5A1D" w14:paraId="25F18D18" w14:textId="77777777">
      <w:pPr>
        <w:pStyle w:val="paragraph"/>
        <w:spacing w:before="0" w:beforeAutospacing="0" w:after="0" w:afterAutospacing="0"/>
        <w:jc w:val="center"/>
        <w:textAlignment w:val="baseline"/>
        <w:rPr>
          <w:rFonts w:ascii="Arial" w:hAnsi="Arial" w:cs="Arial"/>
          <w:b/>
          <w:bCs/>
          <w:sz w:val="22"/>
          <w:szCs w:val="22"/>
          <w:lang w:val="en-US"/>
        </w:rPr>
      </w:pPr>
    </w:p>
    <w:p w:rsidR="001E5A1D" w:rsidP="001E5A1D" w:rsidRDefault="001E5A1D" w14:paraId="2EFFD5B7" w14:textId="77777777">
      <w:pPr>
        <w:pStyle w:val="paragraph"/>
        <w:spacing w:before="0" w:beforeAutospacing="0" w:after="0" w:afterAutospacing="0"/>
        <w:jc w:val="center"/>
        <w:textAlignment w:val="baseline"/>
        <w:rPr>
          <w:rFonts w:ascii="Arial" w:hAnsi="Arial" w:cs="Arial"/>
          <w:b/>
          <w:bCs/>
          <w:sz w:val="22"/>
          <w:szCs w:val="22"/>
          <w:lang w:val="en-US"/>
        </w:rPr>
      </w:pPr>
    </w:p>
    <w:p w:rsidR="001E5A1D" w:rsidP="001E5A1D" w:rsidRDefault="001E5A1D" w14:paraId="35810496" w14:textId="77777777">
      <w:pPr>
        <w:pStyle w:val="paragraph"/>
        <w:spacing w:before="0" w:beforeAutospacing="0" w:after="0" w:afterAutospacing="0"/>
        <w:jc w:val="center"/>
        <w:textAlignment w:val="baseline"/>
        <w:rPr>
          <w:rFonts w:ascii="Arial" w:hAnsi="Arial" w:cs="Arial"/>
          <w:b/>
          <w:bCs/>
          <w:sz w:val="22"/>
          <w:szCs w:val="22"/>
          <w:lang w:val="en-US"/>
        </w:rPr>
      </w:pPr>
    </w:p>
    <w:p w:rsidR="001E5A1D" w:rsidP="001E5A1D" w:rsidRDefault="001E5A1D" w14:paraId="743CAFD3" w14:textId="77777777">
      <w:pPr>
        <w:pStyle w:val="paragraph"/>
        <w:spacing w:before="0" w:beforeAutospacing="0" w:after="0" w:afterAutospacing="0"/>
        <w:jc w:val="center"/>
        <w:textAlignment w:val="baseline"/>
        <w:rPr>
          <w:rFonts w:ascii="Arial" w:hAnsi="Arial" w:cs="Arial"/>
          <w:b/>
          <w:bCs/>
          <w:sz w:val="22"/>
          <w:szCs w:val="22"/>
          <w:lang w:val="en-US"/>
        </w:rPr>
      </w:pPr>
    </w:p>
    <w:p w:rsidR="001E5A1D" w:rsidP="001E5A1D" w:rsidRDefault="001E5A1D" w14:paraId="0A11E9D2" w14:textId="77777777">
      <w:pPr>
        <w:pStyle w:val="paragraph"/>
        <w:spacing w:before="0" w:beforeAutospacing="0" w:after="0" w:afterAutospacing="0"/>
        <w:jc w:val="center"/>
        <w:textAlignment w:val="baseline"/>
        <w:rPr>
          <w:rFonts w:ascii="Arial" w:hAnsi="Arial" w:cs="Arial"/>
          <w:b/>
          <w:bCs/>
          <w:sz w:val="22"/>
          <w:szCs w:val="22"/>
          <w:lang w:val="en-US"/>
        </w:rPr>
      </w:pPr>
    </w:p>
    <w:p w:rsidR="001E5A1D" w:rsidP="001E5A1D" w:rsidRDefault="001E5A1D" w14:paraId="01537961" w14:textId="77777777">
      <w:pPr>
        <w:pStyle w:val="paragraph"/>
        <w:spacing w:before="0" w:beforeAutospacing="0" w:after="0" w:afterAutospacing="0"/>
        <w:jc w:val="center"/>
        <w:textAlignment w:val="baseline"/>
        <w:rPr>
          <w:rFonts w:ascii="Arial" w:hAnsi="Arial" w:cs="Arial"/>
          <w:b/>
          <w:bCs/>
          <w:sz w:val="22"/>
          <w:szCs w:val="22"/>
          <w:lang w:val="en-US"/>
        </w:rPr>
      </w:pPr>
    </w:p>
    <w:p w:rsidR="001E5A1D" w:rsidP="001E5A1D" w:rsidRDefault="001E5A1D" w14:paraId="6F6F9B30" w14:textId="77777777">
      <w:pPr>
        <w:pStyle w:val="paragraph"/>
        <w:spacing w:before="0" w:beforeAutospacing="0" w:after="0" w:afterAutospacing="0"/>
        <w:jc w:val="center"/>
        <w:textAlignment w:val="baseline"/>
        <w:rPr>
          <w:rFonts w:ascii="Arial" w:hAnsi="Arial" w:cs="Arial"/>
          <w:b/>
          <w:bCs/>
          <w:sz w:val="22"/>
          <w:szCs w:val="22"/>
          <w:lang w:val="en-US"/>
        </w:rPr>
      </w:pPr>
    </w:p>
    <w:p w:rsidR="001E5A1D" w:rsidP="001E5A1D" w:rsidRDefault="001E5A1D" w14:paraId="383FD7E1" w14:textId="77777777">
      <w:pPr>
        <w:pStyle w:val="paragraph"/>
        <w:spacing w:before="0" w:beforeAutospacing="0" w:after="0" w:afterAutospacing="0"/>
        <w:jc w:val="center"/>
        <w:textAlignment w:val="baseline"/>
        <w:rPr>
          <w:rFonts w:ascii="Arial" w:hAnsi="Arial" w:cs="Arial"/>
          <w:b/>
          <w:bCs/>
          <w:sz w:val="22"/>
          <w:szCs w:val="22"/>
          <w:lang w:val="en-US"/>
        </w:rPr>
      </w:pPr>
    </w:p>
    <w:p w:rsidR="001E5A1D" w:rsidP="001E5A1D" w:rsidRDefault="001E5A1D" w14:paraId="19AAD8B9" w14:textId="77777777">
      <w:pPr>
        <w:pStyle w:val="paragraph"/>
        <w:spacing w:before="0" w:beforeAutospacing="0" w:after="0" w:afterAutospacing="0"/>
        <w:jc w:val="center"/>
        <w:textAlignment w:val="baseline"/>
        <w:rPr>
          <w:rFonts w:ascii="Arial" w:hAnsi="Arial" w:cs="Arial"/>
          <w:b/>
          <w:bCs/>
          <w:sz w:val="22"/>
          <w:szCs w:val="22"/>
          <w:lang w:val="en-US"/>
        </w:rPr>
      </w:pPr>
    </w:p>
    <w:p w:rsidRPr="00C87621" w:rsidR="001E5A1D" w:rsidP="001E5A1D" w:rsidRDefault="001E5A1D" w14:paraId="5F3652C1" w14:textId="0449AE28">
      <w:pPr>
        <w:pStyle w:val="paragraph"/>
        <w:spacing w:before="0" w:beforeAutospacing="0" w:after="0" w:afterAutospacing="0"/>
        <w:jc w:val="center"/>
        <w:textAlignment w:val="baseline"/>
        <w:rPr>
          <w:rFonts w:ascii="Segoe UI" w:hAnsi="Segoe UI" w:cs="Segoe UI"/>
          <w:sz w:val="32"/>
          <w:szCs w:val="32"/>
        </w:rPr>
      </w:pPr>
      <w:r w:rsidRPr="00C87621">
        <w:rPr>
          <w:rFonts w:ascii="Arial" w:hAnsi="Arial" w:cs="Arial"/>
          <w:b/>
          <w:bCs/>
          <w:sz w:val="32"/>
          <w:szCs w:val="32"/>
          <w:lang w:val="en-US"/>
        </w:rPr>
        <w:t>An Interdisciplinary Approach to Barriers of Early AD Diagnosis:</w:t>
      </w:r>
    </w:p>
    <w:p w:rsidRPr="00C87621" w:rsidR="001E5A1D" w:rsidP="001E5A1D" w:rsidRDefault="001E5A1D" w14:paraId="4211A0A9" w14:textId="77777777">
      <w:pPr>
        <w:spacing w:after="0" w:line="240" w:lineRule="auto"/>
        <w:jc w:val="center"/>
        <w:textAlignment w:val="baseline"/>
        <w:rPr>
          <w:rFonts w:ascii="Segoe UI" w:hAnsi="Segoe UI" w:eastAsia="Times New Roman" w:cs="Segoe UI"/>
          <w:kern w:val="0"/>
          <w:sz w:val="32"/>
          <w:szCs w:val="32"/>
          <w14:ligatures w14:val="none"/>
        </w:rPr>
      </w:pPr>
      <w:r w:rsidRPr="00C87621">
        <w:rPr>
          <w:rFonts w:ascii="Arial" w:hAnsi="Arial" w:eastAsia="Times New Roman" w:cs="Arial"/>
          <w:b/>
          <w:bCs/>
          <w:kern w:val="0"/>
          <w:sz w:val="32"/>
          <w:szCs w:val="32"/>
          <w:lang w:val="en-US"/>
          <w14:ligatures w14:val="none"/>
        </w:rPr>
        <w:t>A Scoping Review</w:t>
      </w:r>
      <w:r w:rsidRPr="00C87621">
        <w:rPr>
          <w:rFonts w:ascii="Arial" w:hAnsi="Arial" w:eastAsia="Times New Roman" w:cs="Arial"/>
          <w:kern w:val="0"/>
          <w:sz w:val="32"/>
          <w:szCs w:val="32"/>
          <w14:ligatures w14:val="none"/>
        </w:rPr>
        <w:t> </w:t>
      </w:r>
    </w:p>
    <w:p w:rsidRPr="001E5A1D" w:rsidR="001E5A1D" w:rsidP="001E5A1D" w:rsidRDefault="001E5A1D" w14:paraId="394D5879" w14:textId="77777777">
      <w:pPr>
        <w:spacing w:after="0" w:line="240" w:lineRule="auto"/>
        <w:jc w:val="center"/>
        <w:textAlignment w:val="baseline"/>
        <w:rPr>
          <w:rFonts w:ascii="Segoe UI" w:hAnsi="Segoe UI" w:eastAsia="Times New Roman" w:cs="Segoe UI"/>
          <w:kern w:val="0"/>
          <w:sz w:val="18"/>
          <w:szCs w:val="18"/>
          <w14:ligatures w14:val="none"/>
        </w:rPr>
      </w:pPr>
      <w:r w:rsidRPr="001E5A1D">
        <w:rPr>
          <w:rFonts w:ascii="Arial" w:hAnsi="Arial" w:eastAsia="Times New Roman" w:cs="Arial"/>
          <w:kern w:val="0"/>
          <w:sz w:val="22"/>
          <w:szCs w:val="22"/>
          <w14:ligatures w14:val="none"/>
        </w:rPr>
        <w:t> </w:t>
      </w:r>
    </w:p>
    <w:p w:rsidRPr="001E5A1D" w:rsidR="001E5A1D" w:rsidP="001E5A1D" w:rsidRDefault="001E5A1D" w14:paraId="6747F511" w14:textId="77777777">
      <w:pPr>
        <w:spacing w:after="0" w:line="240" w:lineRule="auto"/>
        <w:jc w:val="center"/>
        <w:textAlignment w:val="baseline"/>
        <w:rPr>
          <w:rFonts w:ascii="Segoe UI" w:hAnsi="Segoe UI" w:eastAsia="Times New Roman" w:cs="Segoe UI"/>
          <w:kern w:val="0"/>
          <w:sz w:val="18"/>
          <w:szCs w:val="18"/>
          <w14:ligatures w14:val="none"/>
        </w:rPr>
      </w:pPr>
      <w:r w:rsidRPr="001E5A1D">
        <w:rPr>
          <w:rFonts w:ascii="Arial" w:hAnsi="Arial" w:eastAsia="Times New Roman" w:cs="Arial"/>
          <w:kern w:val="0"/>
          <w:sz w:val="22"/>
          <w:szCs w:val="22"/>
          <w14:ligatures w14:val="none"/>
        </w:rPr>
        <w:t>Cerebros </w:t>
      </w:r>
    </w:p>
    <w:p w:rsidRPr="001E5A1D" w:rsidR="001E5A1D" w:rsidP="001E5A1D" w:rsidRDefault="001E5A1D" w14:paraId="4E918895" w14:textId="77777777">
      <w:pPr>
        <w:spacing w:after="0" w:line="240" w:lineRule="auto"/>
        <w:jc w:val="center"/>
        <w:textAlignment w:val="baseline"/>
        <w:rPr>
          <w:rFonts w:ascii="Segoe UI" w:hAnsi="Segoe UI" w:eastAsia="Times New Roman" w:cs="Segoe UI"/>
          <w:kern w:val="0"/>
          <w:sz w:val="18"/>
          <w:szCs w:val="18"/>
          <w14:ligatures w14:val="none"/>
        </w:rPr>
      </w:pPr>
      <w:r w:rsidRPr="001E5A1D">
        <w:rPr>
          <w:rFonts w:ascii="Arial" w:hAnsi="Arial" w:eastAsia="Times New Roman" w:cs="Arial"/>
          <w:kern w:val="0"/>
          <w:sz w:val="22"/>
          <w:szCs w:val="22"/>
          <w14:ligatures w14:val="none"/>
        </w:rPr>
        <w:t>Milestone 2 </w:t>
      </w:r>
    </w:p>
    <w:p w:rsidRPr="001E5A1D" w:rsidR="001E5A1D" w:rsidP="001E5A1D" w:rsidRDefault="001E5A1D" w14:paraId="40319C30" w14:textId="77777777">
      <w:pPr>
        <w:spacing w:after="0" w:line="240" w:lineRule="auto"/>
        <w:jc w:val="center"/>
        <w:textAlignment w:val="baseline"/>
        <w:rPr>
          <w:rFonts w:ascii="Segoe UI" w:hAnsi="Segoe UI" w:eastAsia="Times New Roman" w:cs="Segoe UI"/>
          <w:kern w:val="0"/>
          <w:sz w:val="18"/>
          <w:szCs w:val="18"/>
          <w14:ligatures w14:val="none"/>
        </w:rPr>
      </w:pPr>
      <w:r w:rsidRPr="001E5A1D">
        <w:rPr>
          <w:rFonts w:ascii="Arial" w:hAnsi="Arial" w:eastAsia="Times New Roman" w:cs="Arial"/>
          <w:kern w:val="0"/>
          <w:sz w:val="22"/>
          <w:szCs w:val="22"/>
          <w14:ligatures w14:val="none"/>
        </w:rPr>
        <w:t>Dr. Faraj Haddad </w:t>
      </w:r>
    </w:p>
    <w:p w:rsidRPr="001E5A1D" w:rsidR="001E5A1D" w:rsidP="001E5A1D" w:rsidRDefault="001E5A1D" w14:paraId="4A41B208" w14:textId="36A84927">
      <w:pPr>
        <w:spacing w:after="0" w:line="240" w:lineRule="auto"/>
        <w:jc w:val="center"/>
        <w:textAlignment w:val="baseline"/>
        <w:rPr>
          <w:rFonts w:ascii="Segoe UI" w:hAnsi="Segoe UI" w:eastAsia="Times New Roman" w:cs="Segoe UI"/>
          <w:kern w:val="0"/>
          <w:sz w:val="18"/>
          <w:szCs w:val="18"/>
          <w14:ligatures w14:val="none"/>
        </w:rPr>
      </w:pPr>
      <w:r>
        <w:rPr>
          <w:rFonts w:ascii="Arial" w:hAnsi="Arial" w:eastAsia="Times New Roman" w:cs="Arial"/>
          <w:kern w:val="0"/>
          <w:sz w:val="22"/>
          <w:szCs w:val="22"/>
          <w14:ligatures w14:val="none"/>
        </w:rPr>
        <w:t>March 25</w:t>
      </w:r>
      <w:r w:rsidRPr="001E5A1D">
        <w:rPr>
          <w:rFonts w:ascii="Arial" w:hAnsi="Arial" w:eastAsia="Times New Roman" w:cs="Arial"/>
          <w:kern w:val="0"/>
          <w:sz w:val="22"/>
          <w:szCs w:val="22"/>
          <w14:ligatures w14:val="none"/>
        </w:rPr>
        <w:t>, 202</w:t>
      </w:r>
      <w:r>
        <w:rPr>
          <w:rFonts w:ascii="Arial" w:hAnsi="Arial" w:eastAsia="Times New Roman" w:cs="Arial"/>
          <w:kern w:val="0"/>
          <w:sz w:val="22"/>
          <w:szCs w:val="22"/>
          <w14:ligatures w14:val="none"/>
        </w:rPr>
        <w:t>5</w:t>
      </w:r>
      <w:r w:rsidRPr="001E5A1D">
        <w:rPr>
          <w:rFonts w:ascii="Arial" w:hAnsi="Arial" w:eastAsia="Times New Roman" w:cs="Arial"/>
          <w:kern w:val="0"/>
          <w:sz w:val="22"/>
          <w:szCs w:val="22"/>
          <w14:ligatures w14:val="none"/>
        </w:rPr>
        <w:t> </w:t>
      </w:r>
    </w:p>
    <w:p w:rsidRPr="001E5A1D" w:rsidR="001E5A1D" w:rsidP="001E5A1D" w:rsidRDefault="001E5A1D" w14:paraId="5557B984" w14:textId="77777777">
      <w:pPr>
        <w:spacing w:after="0" w:line="240" w:lineRule="auto"/>
        <w:jc w:val="center"/>
        <w:textAlignment w:val="baseline"/>
        <w:rPr>
          <w:rFonts w:ascii="Segoe UI" w:hAnsi="Segoe UI" w:eastAsia="Times New Roman" w:cs="Segoe UI"/>
          <w:kern w:val="0"/>
          <w:sz w:val="18"/>
          <w:szCs w:val="18"/>
          <w14:ligatures w14:val="none"/>
        </w:rPr>
      </w:pPr>
      <w:r w:rsidRPr="001E5A1D">
        <w:rPr>
          <w:rFonts w:ascii="Arial" w:hAnsi="Arial" w:eastAsia="Times New Roman" w:cs="Arial"/>
          <w:kern w:val="0"/>
          <w:sz w:val="22"/>
          <w:szCs w:val="22"/>
          <w14:ligatures w14:val="none"/>
        </w:rPr>
        <w:t> </w:t>
      </w:r>
    </w:p>
    <w:p w:rsidRPr="001E5A1D" w:rsidR="001E5A1D" w:rsidP="001E5A1D" w:rsidRDefault="001E5A1D" w14:paraId="2174EA47" w14:textId="77777777">
      <w:pPr>
        <w:spacing w:after="0" w:line="240" w:lineRule="auto"/>
        <w:jc w:val="center"/>
        <w:textAlignment w:val="baseline"/>
        <w:rPr>
          <w:rFonts w:ascii="Segoe UI" w:hAnsi="Segoe UI" w:eastAsia="Times New Roman" w:cs="Segoe UI"/>
          <w:kern w:val="0"/>
          <w:sz w:val="18"/>
          <w:szCs w:val="18"/>
          <w14:ligatures w14:val="none"/>
        </w:rPr>
      </w:pPr>
      <w:r w:rsidRPr="001E5A1D">
        <w:rPr>
          <w:rFonts w:ascii="Arial" w:hAnsi="Arial" w:eastAsia="Times New Roman" w:cs="Arial"/>
          <w:kern w:val="0"/>
          <w:sz w:val="22"/>
          <w:szCs w:val="22"/>
          <w14:ligatures w14:val="none"/>
        </w:rPr>
        <w:t>Interdisciplinary Medical Sciences </w:t>
      </w:r>
    </w:p>
    <w:p w:rsidRPr="001E5A1D" w:rsidR="001E5A1D" w:rsidP="001E5A1D" w:rsidRDefault="001E5A1D" w14:paraId="1D4C59CC" w14:textId="77777777">
      <w:pPr>
        <w:spacing w:after="0" w:line="240" w:lineRule="auto"/>
        <w:jc w:val="center"/>
        <w:textAlignment w:val="baseline"/>
        <w:rPr>
          <w:rFonts w:ascii="Segoe UI" w:hAnsi="Segoe UI" w:eastAsia="Times New Roman" w:cs="Segoe UI"/>
          <w:kern w:val="0"/>
          <w:sz w:val="18"/>
          <w:szCs w:val="18"/>
          <w14:ligatures w14:val="none"/>
        </w:rPr>
      </w:pPr>
      <w:r w:rsidRPr="001E5A1D">
        <w:rPr>
          <w:rFonts w:ascii="Arial" w:hAnsi="Arial" w:eastAsia="Times New Roman" w:cs="Arial"/>
          <w:kern w:val="0"/>
          <w:sz w:val="22"/>
          <w:szCs w:val="22"/>
          <w14:ligatures w14:val="none"/>
        </w:rPr>
        <w:t>Schulich School of Medicine and Dentistry </w:t>
      </w:r>
    </w:p>
    <w:p w:rsidR="001E5A1D" w:rsidP="001E5A1D" w:rsidRDefault="001E5A1D" w14:paraId="151D9CD6" w14:textId="77777777">
      <w:pPr>
        <w:spacing w:after="0" w:line="240" w:lineRule="auto"/>
        <w:jc w:val="center"/>
        <w:textAlignment w:val="baseline"/>
        <w:rPr>
          <w:rFonts w:ascii="Arial" w:hAnsi="Arial" w:eastAsia="Times New Roman" w:cs="Arial"/>
          <w:kern w:val="0"/>
          <w:sz w:val="22"/>
          <w:szCs w:val="22"/>
          <w14:ligatures w14:val="none"/>
        </w:rPr>
      </w:pPr>
      <w:r w:rsidRPr="001E5A1D">
        <w:rPr>
          <w:rFonts w:ascii="Arial" w:hAnsi="Arial" w:eastAsia="Times New Roman" w:cs="Arial"/>
          <w:kern w:val="0"/>
          <w:sz w:val="22"/>
          <w:szCs w:val="22"/>
          <w14:ligatures w14:val="none"/>
        </w:rPr>
        <w:t>Western University </w:t>
      </w:r>
    </w:p>
    <w:p w:rsidR="001E5A1D" w:rsidP="001E5A1D" w:rsidRDefault="001E5A1D" w14:paraId="6DAFCEBF" w14:textId="77777777">
      <w:pPr>
        <w:spacing w:after="0" w:line="240" w:lineRule="auto"/>
        <w:jc w:val="center"/>
        <w:textAlignment w:val="baseline"/>
        <w:rPr>
          <w:rFonts w:ascii="Arial" w:hAnsi="Arial" w:eastAsia="Times New Roman" w:cs="Arial"/>
          <w:kern w:val="0"/>
          <w:sz w:val="22"/>
          <w:szCs w:val="22"/>
          <w14:ligatures w14:val="none"/>
        </w:rPr>
      </w:pPr>
    </w:p>
    <w:p w:rsidR="001E5A1D" w:rsidP="001E5A1D" w:rsidRDefault="001E5A1D" w14:paraId="4148E70E" w14:textId="77777777">
      <w:pPr>
        <w:spacing w:after="0" w:line="240" w:lineRule="auto"/>
        <w:jc w:val="center"/>
        <w:textAlignment w:val="baseline"/>
        <w:rPr>
          <w:rFonts w:ascii="Arial" w:hAnsi="Arial" w:eastAsia="Times New Roman" w:cs="Arial"/>
          <w:kern w:val="0"/>
          <w:sz w:val="22"/>
          <w:szCs w:val="22"/>
          <w14:ligatures w14:val="none"/>
        </w:rPr>
      </w:pPr>
    </w:p>
    <w:p w:rsidR="001E5A1D" w:rsidP="001E5A1D" w:rsidRDefault="001E5A1D" w14:paraId="168630EF" w14:textId="77777777">
      <w:pPr>
        <w:spacing w:after="0" w:line="240" w:lineRule="auto"/>
        <w:jc w:val="center"/>
        <w:textAlignment w:val="baseline"/>
        <w:rPr>
          <w:rFonts w:ascii="Arial" w:hAnsi="Arial" w:eastAsia="Times New Roman" w:cs="Arial"/>
          <w:kern w:val="0"/>
          <w:sz w:val="22"/>
          <w:szCs w:val="22"/>
          <w14:ligatures w14:val="none"/>
        </w:rPr>
      </w:pPr>
    </w:p>
    <w:p w:rsidR="001E5A1D" w:rsidP="001E5A1D" w:rsidRDefault="001E5A1D" w14:paraId="4AA0E044" w14:textId="77777777">
      <w:pPr>
        <w:spacing w:after="0" w:line="240" w:lineRule="auto"/>
        <w:jc w:val="center"/>
        <w:textAlignment w:val="baseline"/>
        <w:rPr>
          <w:rFonts w:ascii="Arial" w:hAnsi="Arial" w:eastAsia="Times New Roman" w:cs="Arial"/>
          <w:kern w:val="0"/>
          <w:sz w:val="22"/>
          <w:szCs w:val="22"/>
          <w14:ligatures w14:val="none"/>
        </w:rPr>
      </w:pPr>
    </w:p>
    <w:p w:rsidR="001E5A1D" w:rsidP="001E5A1D" w:rsidRDefault="001E5A1D" w14:paraId="5E3E6A8D" w14:textId="77777777">
      <w:pPr>
        <w:spacing w:after="0" w:line="240" w:lineRule="auto"/>
        <w:jc w:val="center"/>
        <w:textAlignment w:val="baseline"/>
        <w:rPr>
          <w:rFonts w:ascii="Arial" w:hAnsi="Arial" w:eastAsia="Times New Roman" w:cs="Arial"/>
          <w:kern w:val="0"/>
          <w:sz w:val="22"/>
          <w:szCs w:val="22"/>
          <w14:ligatures w14:val="none"/>
        </w:rPr>
      </w:pPr>
    </w:p>
    <w:p w:rsidR="001E5A1D" w:rsidP="001E5A1D" w:rsidRDefault="001E5A1D" w14:paraId="2D28A6C0" w14:textId="77777777">
      <w:pPr>
        <w:spacing w:after="0" w:line="240" w:lineRule="auto"/>
        <w:jc w:val="center"/>
        <w:textAlignment w:val="baseline"/>
        <w:rPr>
          <w:rFonts w:ascii="Arial" w:hAnsi="Arial" w:eastAsia="Times New Roman" w:cs="Arial"/>
          <w:kern w:val="0"/>
          <w:sz w:val="22"/>
          <w:szCs w:val="22"/>
          <w14:ligatures w14:val="none"/>
        </w:rPr>
      </w:pPr>
    </w:p>
    <w:p w:rsidR="001E5A1D" w:rsidP="001E5A1D" w:rsidRDefault="001E5A1D" w14:paraId="76188543" w14:textId="77777777">
      <w:pPr>
        <w:spacing w:after="0" w:line="240" w:lineRule="auto"/>
        <w:jc w:val="center"/>
        <w:textAlignment w:val="baseline"/>
        <w:rPr>
          <w:rFonts w:ascii="Arial" w:hAnsi="Arial" w:eastAsia="Times New Roman" w:cs="Arial"/>
          <w:kern w:val="0"/>
          <w:sz w:val="22"/>
          <w:szCs w:val="22"/>
          <w14:ligatures w14:val="none"/>
        </w:rPr>
      </w:pPr>
    </w:p>
    <w:p w:rsidR="001E5A1D" w:rsidP="001E5A1D" w:rsidRDefault="001E5A1D" w14:paraId="68C77F32" w14:textId="77777777">
      <w:pPr>
        <w:spacing w:after="0" w:line="240" w:lineRule="auto"/>
        <w:jc w:val="center"/>
        <w:textAlignment w:val="baseline"/>
        <w:rPr>
          <w:rFonts w:ascii="Arial" w:hAnsi="Arial" w:eastAsia="Times New Roman" w:cs="Arial"/>
          <w:kern w:val="0"/>
          <w:sz w:val="22"/>
          <w:szCs w:val="22"/>
          <w14:ligatures w14:val="none"/>
        </w:rPr>
      </w:pPr>
    </w:p>
    <w:p w:rsidRPr="001E5A1D" w:rsidR="001E5A1D" w:rsidP="001E5A1D" w:rsidRDefault="001E5A1D" w14:paraId="4A13CB6A" w14:textId="77777777">
      <w:pPr>
        <w:spacing w:after="0" w:line="240" w:lineRule="auto"/>
        <w:jc w:val="center"/>
        <w:textAlignment w:val="baseline"/>
        <w:rPr>
          <w:rFonts w:ascii="Segoe UI" w:hAnsi="Segoe UI" w:eastAsia="Times New Roman" w:cs="Segoe UI"/>
          <w:kern w:val="0"/>
          <w:sz w:val="18"/>
          <w:szCs w:val="18"/>
          <w14:ligatures w14:val="none"/>
        </w:rPr>
      </w:pPr>
    </w:p>
    <w:p w:rsidRPr="001E5A1D" w:rsidR="001E5A1D" w:rsidP="001E5A1D" w:rsidRDefault="001E5A1D" w14:paraId="3519D69D" w14:textId="77777777">
      <w:pPr>
        <w:spacing w:after="0" w:line="240" w:lineRule="auto"/>
        <w:textAlignment w:val="baseline"/>
        <w:rPr>
          <w:rFonts w:ascii="Segoe UI" w:hAnsi="Segoe UI" w:eastAsia="Times New Roman" w:cs="Segoe UI"/>
          <w:kern w:val="0"/>
          <w:sz w:val="18"/>
          <w:szCs w:val="18"/>
          <w14:ligatures w14:val="none"/>
        </w:rPr>
      </w:pPr>
      <w:r w:rsidRPr="001E5A1D">
        <w:rPr>
          <w:rFonts w:ascii="Arial" w:hAnsi="Arial" w:eastAsia="Times New Roman" w:cs="Arial"/>
          <w:b/>
          <w:bCs/>
          <w:kern w:val="0"/>
          <w:sz w:val="22"/>
          <w:szCs w:val="22"/>
          <w14:ligatures w14:val="none"/>
        </w:rPr>
        <w:t>Author Contributions</w:t>
      </w:r>
      <w:r w:rsidRPr="001E5A1D">
        <w:rPr>
          <w:rFonts w:ascii="Arial" w:hAnsi="Arial" w:eastAsia="Times New Roman" w:cs="Arial"/>
          <w:kern w:val="0"/>
          <w:sz w:val="22"/>
          <w:szCs w:val="22"/>
          <w14:ligatures w14:val="none"/>
        </w:rPr>
        <w:t> </w:t>
      </w:r>
    </w:p>
    <w:tbl>
      <w:tblPr>
        <w:tblW w:w="10057"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1109"/>
        <w:gridCol w:w="1283"/>
        <w:gridCol w:w="7665"/>
      </w:tblGrid>
      <w:tr w:rsidRPr="001E5A1D" w:rsidR="001E5A1D" w:rsidTr="001E5A1D" w14:paraId="54E86967" w14:textId="77777777">
        <w:trPr>
          <w:trHeight w:val="300"/>
        </w:trPr>
        <w:tc>
          <w:tcPr>
            <w:tcW w:w="1109" w:type="dxa"/>
            <w:tcBorders>
              <w:top w:val="single" w:color="auto" w:sz="6" w:space="0"/>
              <w:left w:val="single" w:color="auto" w:sz="6" w:space="0"/>
              <w:bottom w:val="single" w:color="auto" w:sz="6" w:space="0"/>
              <w:right w:val="single" w:color="auto" w:sz="6" w:space="0"/>
            </w:tcBorders>
            <w:shd w:val="clear" w:color="auto" w:fill="F2F2F2"/>
            <w:hideMark/>
          </w:tcPr>
          <w:p w:rsidRPr="001E5A1D" w:rsidR="001E5A1D" w:rsidP="001E5A1D" w:rsidRDefault="001E5A1D" w14:paraId="3B4B1A3B" w14:textId="77777777">
            <w:pPr>
              <w:spacing w:after="0" w:line="240" w:lineRule="auto"/>
              <w:textAlignment w:val="baseline"/>
              <w:rPr>
                <w:rFonts w:ascii="Times New Roman" w:hAnsi="Times New Roman" w:eastAsia="Times New Roman" w:cs="Times New Roman"/>
                <w:kern w:val="0"/>
                <w14:ligatures w14:val="none"/>
              </w:rPr>
            </w:pPr>
            <w:r w:rsidRPr="001E5A1D">
              <w:rPr>
                <w:rFonts w:ascii="Arial" w:hAnsi="Arial" w:eastAsia="Times New Roman" w:cs="Arial"/>
                <w:b/>
                <w:bCs/>
                <w:kern w:val="0"/>
                <w14:ligatures w14:val="none"/>
              </w:rPr>
              <w:t>Student Name</w:t>
            </w:r>
            <w:r w:rsidRPr="001E5A1D">
              <w:rPr>
                <w:rFonts w:ascii="Arial" w:hAnsi="Arial" w:eastAsia="Times New Roman" w:cs="Arial"/>
                <w:kern w:val="0"/>
                <w14:ligatures w14:val="none"/>
              </w:rPr>
              <w:t> </w:t>
            </w:r>
          </w:p>
        </w:tc>
        <w:tc>
          <w:tcPr>
            <w:tcW w:w="1283" w:type="dxa"/>
            <w:tcBorders>
              <w:top w:val="single" w:color="auto" w:sz="6" w:space="0"/>
              <w:left w:val="single" w:color="auto" w:sz="6" w:space="0"/>
              <w:bottom w:val="single" w:color="auto" w:sz="6" w:space="0"/>
              <w:right w:val="single" w:color="auto" w:sz="6" w:space="0"/>
            </w:tcBorders>
            <w:shd w:val="clear" w:color="auto" w:fill="F2F2F2"/>
            <w:hideMark/>
          </w:tcPr>
          <w:p w:rsidRPr="001E5A1D" w:rsidR="001E5A1D" w:rsidP="001E5A1D" w:rsidRDefault="001E5A1D" w14:paraId="4B3A1111" w14:textId="77777777">
            <w:pPr>
              <w:spacing w:after="0" w:line="240" w:lineRule="auto"/>
              <w:textAlignment w:val="baseline"/>
              <w:rPr>
                <w:rFonts w:ascii="Times New Roman" w:hAnsi="Times New Roman" w:eastAsia="Times New Roman" w:cs="Times New Roman"/>
                <w:kern w:val="0"/>
                <w14:ligatures w14:val="none"/>
              </w:rPr>
            </w:pPr>
            <w:r w:rsidRPr="001E5A1D">
              <w:rPr>
                <w:rFonts w:ascii="Arial" w:hAnsi="Arial" w:eastAsia="Times New Roman" w:cs="Arial"/>
                <w:b/>
                <w:bCs/>
                <w:kern w:val="0"/>
                <w14:ligatures w14:val="none"/>
              </w:rPr>
              <w:t>Student Number</w:t>
            </w:r>
            <w:r w:rsidRPr="001E5A1D">
              <w:rPr>
                <w:rFonts w:ascii="Arial" w:hAnsi="Arial" w:eastAsia="Times New Roman" w:cs="Arial"/>
                <w:kern w:val="0"/>
                <w14:ligatures w14:val="none"/>
              </w:rPr>
              <w:t> </w:t>
            </w:r>
          </w:p>
        </w:tc>
        <w:tc>
          <w:tcPr>
            <w:tcW w:w="7665" w:type="dxa"/>
            <w:tcBorders>
              <w:top w:val="single" w:color="auto" w:sz="6" w:space="0"/>
              <w:left w:val="single" w:color="auto" w:sz="6" w:space="0"/>
              <w:bottom w:val="single" w:color="auto" w:sz="6" w:space="0"/>
              <w:right w:val="single" w:color="auto" w:sz="6" w:space="0"/>
            </w:tcBorders>
            <w:shd w:val="clear" w:color="auto" w:fill="F2F2F2"/>
            <w:hideMark/>
          </w:tcPr>
          <w:p w:rsidRPr="001E5A1D" w:rsidR="001E5A1D" w:rsidP="001E5A1D" w:rsidRDefault="001E5A1D" w14:paraId="0DAD8588" w14:textId="77777777">
            <w:pPr>
              <w:spacing w:after="0" w:line="240" w:lineRule="auto"/>
              <w:textAlignment w:val="baseline"/>
              <w:rPr>
                <w:rFonts w:ascii="Times New Roman" w:hAnsi="Times New Roman" w:eastAsia="Times New Roman" w:cs="Times New Roman"/>
                <w:kern w:val="0"/>
                <w14:ligatures w14:val="none"/>
              </w:rPr>
            </w:pPr>
            <w:r w:rsidRPr="001E5A1D">
              <w:rPr>
                <w:rFonts w:ascii="Arial" w:hAnsi="Arial" w:eastAsia="Times New Roman" w:cs="Arial"/>
                <w:b/>
                <w:bCs/>
                <w:kern w:val="0"/>
                <w14:ligatures w14:val="none"/>
              </w:rPr>
              <w:t>Contributions</w:t>
            </w:r>
            <w:r w:rsidRPr="001E5A1D">
              <w:rPr>
                <w:rFonts w:ascii="Arial" w:hAnsi="Arial" w:eastAsia="Times New Roman" w:cs="Arial"/>
                <w:kern w:val="0"/>
                <w14:ligatures w14:val="none"/>
              </w:rPr>
              <w:t> </w:t>
            </w:r>
          </w:p>
        </w:tc>
      </w:tr>
      <w:tr w:rsidRPr="001E5A1D" w:rsidR="001E5A1D" w:rsidTr="001E5A1D" w14:paraId="07D4F48D" w14:textId="77777777">
        <w:trPr>
          <w:trHeight w:val="300"/>
        </w:trPr>
        <w:tc>
          <w:tcPr>
            <w:tcW w:w="1109" w:type="dxa"/>
            <w:tcBorders>
              <w:top w:val="single" w:color="auto" w:sz="6" w:space="0"/>
              <w:left w:val="single" w:color="auto" w:sz="6" w:space="0"/>
              <w:bottom w:val="single" w:color="auto" w:sz="6" w:space="0"/>
              <w:right w:val="single" w:color="auto" w:sz="6" w:space="0"/>
            </w:tcBorders>
            <w:shd w:val="clear" w:color="auto" w:fill="auto"/>
            <w:hideMark/>
          </w:tcPr>
          <w:p w:rsidRPr="00595CC0" w:rsidR="001E5A1D" w:rsidP="001E5A1D" w:rsidRDefault="001E5A1D" w14:paraId="73207AB1" w14:textId="77777777">
            <w:pPr>
              <w:spacing w:after="0" w:line="240" w:lineRule="auto"/>
              <w:textAlignment w:val="baseline"/>
              <w:rPr>
                <w:rFonts w:ascii="Times New Roman" w:hAnsi="Times New Roman" w:eastAsia="Times New Roman" w:cs="Times New Roman"/>
                <w:kern w:val="0"/>
                <w:sz w:val="22"/>
                <w:szCs w:val="22"/>
                <w14:ligatures w14:val="none"/>
              </w:rPr>
            </w:pPr>
            <w:r w:rsidRPr="00595CC0">
              <w:rPr>
                <w:rFonts w:ascii="Arial" w:hAnsi="Arial" w:eastAsia="Times New Roman" w:cs="Arial"/>
                <w:kern w:val="0"/>
                <w:sz w:val="22"/>
                <w:szCs w:val="22"/>
                <w14:ligatures w14:val="none"/>
              </w:rPr>
              <w:t>Herthika </w:t>
            </w:r>
          </w:p>
        </w:tc>
        <w:tc>
          <w:tcPr>
            <w:tcW w:w="1283" w:type="dxa"/>
            <w:tcBorders>
              <w:top w:val="single" w:color="auto" w:sz="6" w:space="0"/>
              <w:left w:val="single" w:color="auto" w:sz="6" w:space="0"/>
              <w:bottom w:val="single" w:color="auto" w:sz="6" w:space="0"/>
              <w:right w:val="single" w:color="auto" w:sz="6" w:space="0"/>
            </w:tcBorders>
            <w:shd w:val="clear" w:color="auto" w:fill="auto"/>
            <w:hideMark/>
          </w:tcPr>
          <w:p w:rsidRPr="00595CC0" w:rsidR="001E5A1D" w:rsidP="001E5A1D" w:rsidRDefault="001E5A1D" w14:paraId="400FD62E" w14:textId="77777777">
            <w:pPr>
              <w:spacing w:after="0" w:line="240" w:lineRule="auto"/>
              <w:textAlignment w:val="baseline"/>
              <w:rPr>
                <w:rFonts w:ascii="Times New Roman" w:hAnsi="Times New Roman" w:eastAsia="Times New Roman" w:cs="Times New Roman"/>
                <w:kern w:val="0"/>
                <w:sz w:val="22"/>
                <w:szCs w:val="22"/>
                <w14:ligatures w14:val="none"/>
              </w:rPr>
            </w:pPr>
            <w:r w:rsidRPr="00595CC0">
              <w:rPr>
                <w:rFonts w:ascii="Arial" w:hAnsi="Arial" w:eastAsia="Times New Roman" w:cs="Arial"/>
                <w:kern w:val="0"/>
                <w:sz w:val="22"/>
                <w:szCs w:val="22"/>
                <w14:ligatures w14:val="none"/>
              </w:rPr>
              <w:t>250971647 </w:t>
            </w:r>
          </w:p>
        </w:tc>
        <w:tc>
          <w:tcPr>
            <w:tcW w:w="7665" w:type="dxa"/>
            <w:tcBorders>
              <w:top w:val="single" w:color="auto" w:sz="6" w:space="0"/>
              <w:left w:val="single" w:color="auto" w:sz="6" w:space="0"/>
              <w:bottom w:val="single" w:color="auto" w:sz="6" w:space="0"/>
              <w:right w:val="single" w:color="auto" w:sz="6" w:space="0"/>
            </w:tcBorders>
            <w:shd w:val="clear" w:color="auto" w:fill="auto"/>
            <w:hideMark/>
          </w:tcPr>
          <w:p w:rsidRPr="00595CC0" w:rsidR="001E5A1D" w:rsidP="001E5A1D" w:rsidRDefault="005F19FB" w14:paraId="3A98828B" w14:textId="72639D80">
            <w:pPr>
              <w:spacing w:after="0" w:line="240" w:lineRule="auto"/>
              <w:textAlignment w:val="baseline"/>
              <w:rPr>
                <w:rFonts w:ascii="Arial" w:hAnsi="Arial" w:eastAsia="Times New Roman" w:cs="Arial"/>
                <w:kern w:val="0"/>
                <w:sz w:val="22"/>
                <w:szCs w:val="22"/>
                <w14:ligatures w14:val="none"/>
              </w:rPr>
            </w:pPr>
            <w:r w:rsidRPr="00595CC0">
              <w:rPr>
                <w:rFonts w:ascii="Arial" w:hAnsi="Arial" w:eastAsia="Times New Roman" w:cs="Arial"/>
                <w:kern w:val="0"/>
                <w:sz w:val="22"/>
                <w:szCs w:val="22"/>
                <w14:ligatures w14:val="none"/>
              </w:rPr>
              <w:t xml:space="preserve">Synthesized and edited </w:t>
            </w:r>
            <w:r w:rsidRPr="00595CC0" w:rsidR="00DA29C2">
              <w:rPr>
                <w:rFonts w:ascii="Arial" w:hAnsi="Arial" w:eastAsia="Times New Roman" w:cs="Arial"/>
                <w:kern w:val="0"/>
                <w:sz w:val="22"/>
                <w:szCs w:val="22"/>
                <w14:ligatures w14:val="none"/>
              </w:rPr>
              <w:t xml:space="preserve">Executive, </w:t>
            </w:r>
            <w:r w:rsidRPr="00595CC0">
              <w:rPr>
                <w:rFonts w:ascii="Arial" w:hAnsi="Arial" w:eastAsia="Times New Roman" w:cs="Arial"/>
                <w:kern w:val="0"/>
                <w:sz w:val="22"/>
                <w:szCs w:val="22"/>
                <w14:ligatures w14:val="none"/>
              </w:rPr>
              <w:t>Methods, Results for Public Health Discipline, Discussion on Generalizability and Recommendation for Policy. Edited and Brainstorm Intro. Edited and Revised Final Copy. Worked on inputting Citation</w:t>
            </w:r>
          </w:p>
        </w:tc>
      </w:tr>
      <w:tr w:rsidRPr="001E5A1D" w:rsidR="001E5A1D" w:rsidTr="001E5A1D" w14:paraId="2CC9B80E" w14:textId="77777777">
        <w:trPr>
          <w:trHeight w:val="300"/>
        </w:trPr>
        <w:tc>
          <w:tcPr>
            <w:tcW w:w="1109" w:type="dxa"/>
            <w:tcBorders>
              <w:top w:val="single" w:color="auto" w:sz="6" w:space="0"/>
              <w:left w:val="single" w:color="auto" w:sz="6" w:space="0"/>
              <w:bottom w:val="single" w:color="auto" w:sz="6" w:space="0"/>
              <w:right w:val="single" w:color="auto" w:sz="6" w:space="0"/>
            </w:tcBorders>
            <w:shd w:val="clear" w:color="auto" w:fill="auto"/>
            <w:hideMark/>
          </w:tcPr>
          <w:p w:rsidRPr="00595CC0" w:rsidR="001E5A1D" w:rsidP="001E5A1D" w:rsidRDefault="001E5A1D" w14:paraId="0FB687D6" w14:textId="77777777">
            <w:pPr>
              <w:spacing w:after="0" w:line="240" w:lineRule="auto"/>
              <w:textAlignment w:val="baseline"/>
              <w:rPr>
                <w:rFonts w:ascii="Times New Roman" w:hAnsi="Times New Roman" w:eastAsia="Times New Roman" w:cs="Times New Roman"/>
                <w:kern w:val="0"/>
                <w:sz w:val="22"/>
                <w:szCs w:val="22"/>
                <w14:ligatures w14:val="none"/>
              </w:rPr>
            </w:pPr>
            <w:r w:rsidRPr="00595CC0">
              <w:rPr>
                <w:rFonts w:ascii="Arial" w:hAnsi="Arial" w:eastAsia="Times New Roman" w:cs="Arial"/>
                <w:kern w:val="0"/>
                <w:sz w:val="22"/>
                <w:szCs w:val="22"/>
                <w14:ligatures w14:val="none"/>
              </w:rPr>
              <w:t>Preston McCabe   </w:t>
            </w:r>
          </w:p>
        </w:tc>
        <w:tc>
          <w:tcPr>
            <w:tcW w:w="1283" w:type="dxa"/>
            <w:tcBorders>
              <w:top w:val="single" w:color="auto" w:sz="6" w:space="0"/>
              <w:left w:val="single" w:color="auto" w:sz="6" w:space="0"/>
              <w:bottom w:val="single" w:color="auto" w:sz="6" w:space="0"/>
              <w:right w:val="single" w:color="auto" w:sz="6" w:space="0"/>
            </w:tcBorders>
            <w:shd w:val="clear" w:color="auto" w:fill="auto"/>
            <w:hideMark/>
          </w:tcPr>
          <w:p w:rsidRPr="00595CC0" w:rsidR="001E5A1D" w:rsidP="001E5A1D" w:rsidRDefault="001E5A1D" w14:paraId="6885E293" w14:textId="77777777">
            <w:pPr>
              <w:spacing w:after="0" w:line="240" w:lineRule="auto"/>
              <w:textAlignment w:val="baseline"/>
              <w:rPr>
                <w:rFonts w:ascii="Times New Roman" w:hAnsi="Times New Roman" w:eastAsia="Times New Roman" w:cs="Times New Roman"/>
                <w:kern w:val="0"/>
                <w:sz w:val="22"/>
                <w:szCs w:val="22"/>
                <w14:ligatures w14:val="none"/>
              </w:rPr>
            </w:pPr>
            <w:r w:rsidRPr="00595CC0">
              <w:rPr>
                <w:rFonts w:ascii="Arial" w:hAnsi="Arial" w:eastAsia="Times New Roman" w:cs="Arial"/>
                <w:kern w:val="0"/>
                <w:sz w:val="22"/>
                <w:szCs w:val="22"/>
                <w14:ligatures w14:val="none"/>
              </w:rPr>
              <w:t>251111362 </w:t>
            </w:r>
          </w:p>
        </w:tc>
        <w:tc>
          <w:tcPr>
            <w:tcW w:w="7665" w:type="dxa"/>
            <w:tcBorders>
              <w:top w:val="single" w:color="auto" w:sz="6" w:space="0"/>
              <w:left w:val="single" w:color="auto" w:sz="6" w:space="0"/>
              <w:bottom w:val="single" w:color="auto" w:sz="6" w:space="0"/>
              <w:right w:val="single" w:color="auto" w:sz="6" w:space="0"/>
            </w:tcBorders>
            <w:shd w:val="clear" w:color="auto" w:fill="auto"/>
            <w:hideMark/>
          </w:tcPr>
          <w:p w:rsidRPr="00595CC0" w:rsidR="001E5A1D" w:rsidP="001E5A1D" w:rsidRDefault="00366247" w14:paraId="73520654" w14:textId="5944D19F">
            <w:pPr>
              <w:spacing w:after="0" w:line="240" w:lineRule="auto"/>
              <w:textAlignment w:val="baseline"/>
              <w:rPr>
                <w:rFonts w:ascii="Arial" w:hAnsi="Arial" w:eastAsia="Times New Roman" w:cs="Arial"/>
                <w:kern w:val="0"/>
                <w:sz w:val="22"/>
                <w:szCs w:val="22"/>
                <w14:ligatures w14:val="none"/>
              </w:rPr>
            </w:pPr>
            <w:r w:rsidRPr="00595CC0">
              <w:rPr>
                <w:rFonts w:ascii="Arial" w:hAnsi="Arial" w:eastAsia="Times New Roman" w:cs="Arial"/>
                <w:kern w:val="0"/>
                <w:sz w:val="22"/>
                <w:szCs w:val="22"/>
                <w14:ligatures w14:val="none"/>
              </w:rPr>
              <w:t>Composed</w:t>
            </w:r>
            <w:r w:rsidRPr="00595CC0" w:rsidR="00470A73">
              <w:rPr>
                <w:rFonts w:ascii="Arial" w:hAnsi="Arial" w:eastAsia="Times New Roman" w:cs="Arial"/>
                <w:kern w:val="0"/>
                <w:sz w:val="22"/>
                <w:szCs w:val="22"/>
                <w14:ligatures w14:val="none"/>
              </w:rPr>
              <w:t xml:space="preserve"> Executive Summary, Introduction, Results </w:t>
            </w:r>
            <w:r w:rsidRPr="00595CC0" w:rsidR="00A66EC6">
              <w:rPr>
                <w:rFonts w:ascii="Arial" w:hAnsi="Arial" w:eastAsia="Times New Roman" w:cs="Arial"/>
                <w:kern w:val="0"/>
                <w:sz w:val="22"/>
                <w:szCs w:val="22"/>
                <w14:ligatures w14:val="none"/>
              </w:rPr>
              <w:t>Int</w:t>
            </w:r>
            <w:r w:rsidRPr="00595CC0" w:rsidR="00FB5E5A">
              <w:rPr>
                <w:rFonts w:ascii="Arial" w:hAnsi="Arial" w:eastAsia="Times New Roman" w:cs="Arial"/>
                <w:kern w:val="0"/>
                <w:sz w:val="22"/>
                <w:szCs w:val="22"/>
                <w14:ligatures w14:val="none"/>
              </w:rPr>
              <w:t>r</w:t>
            </w:r>
            <w:r w:rsidRPr="00595CC0" w:rsidR="00A66EC6">
              <w:rPr>
                <w:rFonts w:ascii="Arial" w:hAnsi="Arial" w:eastAsia="Times New Roman" w:cs="Arial"/>
                <w:kern w:val="0"/>
                <w:sz w:val="22"/>
                <w:szCs w:val="22"/>
                <w14:ligatures w14:val="none"/>
              </w:rPr>
              <w:t xml:space="preserve">o, </w:t>
            </w:r>
            <w:r w:rsidRPr="00595CC0" w:rsidR="00470A73">
              <w:rPr>
                <w:rFonts w:ascii="Arial" w:hAnsi="Arial" w:eastAsia="Times New Roman" w:cs="Arial"/>
                <w:kern w:val="0"/>
                <w:sz w:val="22"/>
                <w:szCs w:val="22"/>
                <w14:ligatures w14:val="none"/>
              </w:rPr>
              <w:t>Neuropsychology</w:t>
            </w:r>
            <w:r w:rsidRPr="00595CC0" w:rsidR="00A66EC6">
              <w:rPr>
                <w:rFonts w:ascii="Arial" w:hAnsi="Arial" w:eastAsia="Times New Roman" w:cs="Arial"/>
                <w:kern w:val="0"/>
                <w:sz w:val="22"/>
                <w:szCs w:val="22"/>
                <w14:ligatures w14:val="none"/>
              </w:rPr>
              <w:t xml:space="preserve"> Section</w:t>
            </w:r>
            <w:r w:rsidRPr="00595CC0" w:rsidR="00470A73">
              <w:rPr>
                <w:rFonts w:ascii="Arial" w:hAnsi="Arial" w:eastAsia="Times New Roman" w:cs="Arial"/>
                <w:kern w:val="0"/>
                <w:sz w:val="22"/>
                <w:szCs w:val="22"/>
                <w14:ligatures w14:val="none"/>
              </w:rPr>
              <w:t>,</w:t>
            </w:r>
            <w:r w:rsidRPr="00595CC0" w:rsidR="006D7CCE">
              <w:rPr>
                <w:rFonts w:ascii="Arial" w:hAnsi="Arial" w:eastAsia="Times New Roman" w:cs="Arial"/>
                <w:kern w:val="0"/>
                <w:sz w:val="22"/>
                <w:szCs w:val="22"/>
                <w14:ligatures w14:val="none"/>
              </w:rPr>
              <w:t xml:space="preserve"> Discussion into, Discussion </w:t>
            </w:r>
            <w:r w:rsidRPr="00595CC0" w:rsidR="00EC7EE2">
              <w:rPr>
                <w:rFonts w:ascii="Arial" w:hAnsi="Arial" w:eastAsia="Times New Roman" w:cs="Arial"/>
                <w:kern w:val="0"/>
                <w:sz w:val="22"/>
                <w:szCs w:val="22"/>
                <w14:ligatures w14:val="none"/>
              </w:rPr>
              <w:t xml:space="preserve">on compounding effects, Discussion </w:t>
            </w:r>
            <w:r w:rsidRPr="00595CC0" w:rsidR="00A87CBE">
              <w:rPr>
                <w:rFonts w:ascii="Arial" w:hAnsi="Arial" w:eastAsia="Times New Roman" w:cs="Arial"/>
                <w:kern w:val="0"/>
                <w:sz w:val="22"/>
                <w:szCs w:val="22"/>
                <w14:ligatures w14:val="none"/>
              </w:rPr>
              <w:t>section on implications</w:t>
            </w:r>
            <w:r w:rsidRPr="00595CC0" w:rsidR="00E22252">
              <w:rPr>
                <w:rFonts w:ascii="Arial" w:hAnsi="Arial" w:eastAsia="Times New Roman" w:cs="Arial"/>
                <w:kern w:val="0"/>
                <w:sz w:val="22"/>
                <w:szCs w:val="22"/>
                <w14:ligatures w14:val="none"/>
              </w:rPr>
              <w:t>.</w:t>
            </w:r>
            <w:r w:rsidRPr="00595CC0" w:rsidR="00A87CBE">
              <w:rPr>
                <w:rFonts w:ascii="Arial" w:hAnsi="Arial" w:eastAsia="Times New Roman" w:cs="Arial"/>
                <w:kern w:val="0"/>
                <w:sz w:val="22"/>
                <w:szCs w:val="22"/>
                <w14:ligatures w14:val="none"/>
              </w:rPr>
              <w:t xml:space="preserve"> </w:t>
            </w:r>
            <w:r w:rsidRPr="00595CC0" w:rsidR="00C12100">
              <w:rPr>
                <w:rFonts w:ascii="Arial" w:hAnsi="Arial" w:eastAsia="Times New Roman" w:cs="Arial"/>
                <w:kern w:val="0"/>
                <w:sz w:val="22"/>
                <w:szCs w:val="22"/>
                <w14:ligatures w14:val="none"/>
              </w:rPr>
              <w:t>Citations for the document</w:t>
            </w:r>
            <w:r w:rsidRPr="00595CC0" w:rsidR="00C904F0">
              <w:rPr>
                <w:rFonts w:ascii="Arial" w:hAnsi="Arial" w:eastAsia="Times New Roman" w:cs="Arial"/>
                <w:kern w:val="0"/>
                <w:sz w:val="22"/>
                <w:szCs w:val="22"/>
                <w14:ligatures w14:val="none"/>
              </w:rPr>
              <w:t>. Edited</w:t>
            </w:r>
            <w:r w:rsidRPr="00595CC0" w:rsidR="007C4455">
              <w:rPr>
                <w:rFonts w:ascii="Arial" w:hAnsi="Arial" w:eastAsia="Times New Roman" w:cs="Arial"/>
                <w:kern w:val="0"/>
                <w:sz w:val="22"/>
                <w:szCs w:val="22"/>
                <w14:ligatures w14:val="none"/>
              </w:rPr>
              <w:t xml:space="preserve"> and made revisions for all sections</w:t>
            </w:r>
            <w:r w:rsidRPr="00595CC0" w:rsidR="00471486">
              <w:rPr>
                <w:rFonts w:ascii="Arial" w:hAnsi="Arial" w:eastAsia="Times New Roman" w:cs="Arial"/>
                <w:kern w:val="0"/>
                <w:sz w:val="22"/>
                <w:szCs w:val="22"/>
                <w14:ligatures w14:val="none"/>
              </w:rPr>
              <w:t>.</w:t>
            </w:r>
          </w:p>
        </w:tc>
      </w:tr>
      <w:tr w:rsidRPr="001E5A1D" w:rsidR="001E5A1D" w:rsidTr="001E5A1D" w14:paraId="3205C38F" w14:textId="77777777">
        <w:trPr>
          <w:trHeight w:val="300"/>
        </w:trPr>
        <w:tc>
          <w:tcPr>
            <w:tcW w:w="1109" w:type="dxa"/>
            <w:tcBorders>
              <w:top w:val="single" w:color="auto" w:sz="6" w:space="0"/>
              <w:left w:val="single" w:color="auto" w:sz="6" w:space="0"/>
              <w:bottom w:val="single" w:color="auto" w:sz="6" w:space="0"/>
              <w:right w:val="single" w:color="auto" w:sz="6" w:space="0"/>
            </w:tcBorders>
            <w:shd w:val="clear" w:color="auto" w:fill="auto"/>
            <w:hideMark/>
          </w:tcPr>
          <w:p w:rsidRPr="00595CC0" w:rsidR="001E5A1D" w:rsidP="001E5A1D" w:rsidRDefault="001E5A1D" w14:paraId="51A6CE5F" w14:textId="77777777">
            <w:pPr>
              <w:spacing w:after="0" w:line="240" w:lineRule="auto"/>
              <w:textAlignment w:val="baseline"/>
              <w:rPr>
                <w:rFonts w:ascii="Times New Roman" w:hAnsi="Times New Roman" w:eastAsia="Times New Roman" w:cs="Times New Roman"/>
                <w:kern w:val="0"/>
                <w:sz w:val="22"/>
                <w:szCs w:val="22"/>
                <w14:ligatures w14:val="none"/>
              </w:rPr>
            </w:pPr>
            <w:r w:rsidRPr="00595CC0">
              <w:rPr>
                <w:rFonts w:ascii="Arial" w:hAnsi="Arial" w:eastAsia="Times New Roman" w:cs="Arial"/>
                <w:kern w:val="0"/>
                <w:sz w:val="22"/>
                <w:szCs w:val="22"/>
                <w14:ligatures w14:val="none"/>
              </w:rPr>
              <w:t>Shima Roshani </w:t>
            </w:r>
          </w:p>
        </w:tc>
        <w:tc>
          <w:tcPr>
            <w:tcW w:w="1283" w:type="dxa"/>
            <w:tcBorders>
              <w:top w:val="single" w:color="auto" w:sz="6" w:space="0"/>
              <w:left w:val="single" w:color="auto" w:sz="6" w:space="0"/>
              <w:bottom w:val="single" w:color="auto" w:sz="6" w:space="0"/>
              <w:right w:val="single" w:color="auto" w:sz="6" w:space="0"/>
            </w:tcBorders>
            <w:shd w:val="clear" w:color="auto" w:fill="auto"/>
            <w:hideMark/>
          </w:tcPr>
          <w:p w:rsidRPr="00595CC0" w:rsidR="001E5A1D" w:rsidP="001E5A1D" w:rsidRDefault="001E5A1D" w14:paraId="0747F1D3" w14:textId="77777777">
            <w:pPr>
              <w:spacing w:after="0" w:line="240" w:lineRule="auto"/>
              <w:textAlignment w:val="baseline"/>
              <w:rPr>
                <w:rFonts w:ascii="Times New Roman" w:hAnsi="Times New Roman" w:eastAsia="Times New Roman" w:cs="Times New Roman"/>
                <w:kern w:val="0"/>
                <w:sz w:val="22"/>
                <w:szCs w:val="22"/>
                <w14:ligatures w14:val="none"/>
              </w:rPr>
            </w:pPr>
            <w:r w:rsidRPr="00595CC0">
              <w:rPr>
                <w:rFonts w:ascii="Arial" w:hAnsi="Arial" w:eastAsia="Times New Roman" w:cs="Arial"/>
                <w:kern w:val="0"/>
                <w:sz w:val="22"/>
                <w:szCs w:val="22"/>
                <w14:ligatures w14:val="none"/>
              </w:rPr>
              <w:t>251431418 </w:t>
            </w:r>
          </w:p>
        </w:tc>
        <w:tc>
          <w:tcPr>
            <w:tcW w:w="7665" w:type="dxa"/>
            <w:tcBorders>
              <w:top w:val="single" w:color="auto" w:sz="6" w:space="0"/>
              <w:left w:val="single" w:color="auto" w:sz="6" w:space="0"/>
              <w:bottom w:val="single" w:color="auto" w:sz="6" w:space="0"/>
              <w:right w:val="single" w:color="auto" w:sz="6" w:space="0"/>
            </w:tcBorders>
            <w:shd w:val="clear" w:color="auto" w:fill="auto"/>
            <w:hideMark/>
          </w:tcPr>
          <w:p w:rsidRPr="00595CC0" w:rsidR="001E5A1D" w:rsidP="001E5A1D" w:rsidRDefault="00FC50C9" w14:paraId="6E14E0ED" w14:textId="0A663A93">
            <w:pPr>
              <w:spacing w:after="0" w:line="240" w:lineRule="auto"/>
              <w:textAlignment w:val="baseline"/>
              <w:rPr>
                <w:rFonts w:ascii="Arial" w:hAnsi="Arial" w:eastAsia="Times New Roman" w:cs="Arial"/>
                <w:kern w:val="0"/>
                <w:sz w:val="22"/>
                <w:szCs w:val="22"/>
                <w14:ligatures w14:val="none"/>
              </w:rPr>
            </w:pPr>
            <w:r w:rsidRPr="00595CC0">
              <w:rPr>
                <w:rFonts w:ascii="Arial" w:hAnsi="Arial" w:eastAsia="Times New Roman" w:cs="Arial"/>
                <w:kern w:val="0"/>
                <w:sz w:val="22"/>
                <w:szCs w:val="22"/>
                <w14:ligatures w14:val="none"/>
              </w:rPr>
              <w:t xml:space="preserve">Synthesized and edited Results for </w:t>
            </w:r>
            <w:r w:rsidRPr="00595CC0" w:rsidR="00442EF3">
              <w:rPr>
                <w:rFonts w:ascii="Arial" w:hAnsi="Arial" w:eastAsia="Times New Roman" w:cs="Arial"/>
                <w:kern w:val="0"/>
                <w:sz w:val="22"/>
                <w:szCs w:val="22"/>
                <w14:ligatures w14:val="none"/>
              </w:rPr>
              <w:t>Biomedical</w:t>
            </w:r>
            <w:r w:rsidRPr="00595CC0">
              <w:rPr>
                <w:rFonts w:ascii="Arial" w:hAnsi="Arial" w:eastAsia="Times New Roman" w:cs="Arial"/>
                <w:kern w:val="0"/>
                <w:sz w:val="22"/>
                <w:szCs w:val="22"/>
                <w14:ligatures w14:val="none"/>
              </w:rPr>
              <w:t xml:space="preserve"> Discipline,</w:t>
            </w:r>
            <w:r w:rsidRPr="00595CC0" w:rsidR="00442EF3">
              <w:rPr>
                <w:rFonts w:ascii="Arial" w:hAnsi="Arial" w:eastAsia="Times New Roman" w:cs="Arial"/>
                <w:kern w:val="0"/>
                <w:sz w:val="22"/>
                <w:szCs w:val="22"/>
                <w14:ligatures w14:val="none"/>
              </w:rPr>
              <w:t xml:space="preserve"> </w:t>
            </w:r>
            <w:r w:rsidRPr="00595CC0" w:rsidR="00B05539">
              <w:rPr>
                <w:rFonts w:ascii="Arial" w:hAnsi="Arial" w:eastAsia="Times New Roman" w:cs="Arial"/>
                <w:kern w:val="0"/>
                <w:sz w:val="22"/>
                <w:szCs w:val="22"/>
                <w14:ligatures w14:val="none"/>
              </w:rPr>
              <w:t>Discussion on Cost and Recommendation for Practice. Edited and Revised Final Copy. Worked on inputting Citation</w:t>
            </w:r>
          </w:p>
        </w:tc>
      </w:tr>
    </w:tbl>
    <w:p w:rsidRPr="00DD3983" w:rsidR="004472FC" w:rsidP="004472FC" w:rsidRDefault="004472FC" w14:paraId="408C3EC6" w14:textId="0FB44C4A">
      <w:pPr>
        <w:rPr>
          <w:rFonts w:ascii="Arial" w:hAnsi="Arial" w:cs="Arial"/>
          <w:sz w:val="22"/>
          <w:szCs w:val="22"/>
        </w:rPr>
      </w:pPr>
    </w:p>
    <w:p w:rsidRPr="00DD3983" w:rsidR="004472FC" w:rsidP="004472FC" w:rsidRDefault="001E5A1D" w14:paraId="4505EF26" w14:textId="76A730EB">
      <w:pPr>
        <w:rPr>
          <w:rFonts w:ascii="Arial" w:hAnsi="Arial" w:cs="Arial"/>
          <w:sz w:val="22"/>
          <w:szCs w:val="22"/>
        </w:rPr>
      </w:pPr>
      <w:r>
        <w:rPr>
          <w:rFonts w:ascii="Arial" w:hAnsi="Arial" w:cs="Arial"/>
          <w:sz w:val="22"/>
          <w:szCs w:val="22"/>
        </w:rPr>
        <w:br w:type="page"/>
      </w:r>
    </w:p>
    <w:p w:rsidRPr="004472FC" w:rsidR="00450D95" w:rsidP="00F6306A" w:rsidRDefault="00271804" w14:paraId="19C31D95" w14:textId="06176F6A">
      <w:pPr>
        <w:pStyle w:val="Heading1"/>
        <w:spacing w:before="0"/>
      </w:pPr>
      <w:r>
        <w:t>Executive Summary / Abstract</w:t>
      </w:r>
    </w:p>
    <w:p w:rsidRPr="00F1261F" w:rsidR="00F1261F" w:rsidP="00F1261F" w:rsidRDefault="004472FC" w14:paraId="30C208FB" w14:textId="77777777">
      <w:pPr>
        <w:pStyle w:val="Heading2"/>
      </w:pPr>
      <w:r w:rsidRPr="00F1261F">
        <w:t>Background</w:t>
      </w:r>
    </w:p>
    <w:p w:rsidRPr="00B9037E" w:rsidR="00DA29C2" w:rsidP="00F6306A" w:rsidRDefault="00450D95" w14:paraId="7931692B" w14:textId="38580E11">
      <w:pPr>
        <w:spacing w:after="100" w:afterAutospacing="1" w:line="240" w:lineRule="auto"/>
        <w:jc w:val="both"/>
        <w:outlineLvl w:val="1"/>
        <w:rPr>
          <w:rFonts w:ascii="Arial" w:hAnsi="Arial" w:eastAsia="Times New Roman" w:cs="Arial"/>
          <w:kern w:val="0"/>
          <w:sz w:val="22"/>
          <w:szCs w:val="22"/>
          <w14:ligatures w14:val="none"/>
        </w:rPr>
      </w:pPr>
      <w:r w:rsidRPr="00DD3983">
        <w:rPr>
          <w:rFonts w:ascii="Arial" w:hAnsi="Arial" w:eastAsia="Times New Roman" w:cs="Arial"/>
          <w:kern w:val="0"/>
          <w:sz w:val="22"/>
          <w:szCs w:val="22"/>
          <w14:ligatures w14:val="none"/>
        </w:rPr>
        <w:t>Alzheimer's disease (AD) is the most common cause of dementia, accounting for 60-80% of the 55 million people worldwide</w:t>
      </w:r>
      <w:r w:rsidR="00AD1905">
        <w:rPr>
          <w:rFonts w:ascii="Arial" w:hAnsi="Arial" w:eastAsia="Times New Roman" w:cs="Arial"/>
          <w:kern w:val="0"/>
          <w:sz w:val="22"/>
          <w:szCs w:val="22"/>
          <w14:ligatures w14:val="none"/>
        </w:rPr>
        <w:t xml:space="preserve"> who have</w:t>
      </w:r>
      <w:r w:rsidRPr="00DD3983">
        <w:rPr>
          <w:rFonts w:ascii="Arial" w:hAnsi="Arial" w:eastAsia="Times New Roman" w:cs="Arial"/>
          <w:kern w:val="0"/>
          <w:sz w:val="22"/>
          <w:szCs w:val="22"/>
          <w14:ligatures w14:val="none"/>
        </w:rPr>
        <w:t xml:space="preserve"> dementia, with prevalence forecasted to surge by 2050.</w:t>
      </w:r>
      <w:r w:rsidRPr="00DD3983">
        <w:rPr>
          <w:rFonts w:ascii="Arial" w:hAnsi="Arial" w:cs="Arial"/>
          <w:color w:val="000000"/>
          <w:sz w:val="22"/>
          <w:szCs w:val="22"/>
        </w:rPr>
        <w:t xml:space="preserve"> </w:t>
      </w:r>
      <w:r w:rsidRPr="00DD3983">
        <w:rPr>
          <w:rFonts w:ascii="Arial" w:hAnsi="Arial" w:cs="Arial"/>
          <w:iCs/>
          <w:color w:val="000000"/>
          <w:sz w:val="22"/>
          <w:szCs w:val="22"/>
        </w:rPr>
        <w:t xml:space="preserve">Including prodromal stages of AD, prevalence further increases to 22% of all persons aged 50+. Despite a century of research 99.6% of trials fail and AD remains an incurable disease with </w:t>
      </w:r>
      <w:r w:rsidRPr="00DD3983">
        <w:rPr>
          <w:rFonts w:ascii="Arial" w:hAnsi="Arial" w:eastAsia="Times New Roman" w:cs="Arial"/>
          <w:kern w:val="0"/>
          <w:sz w:val="22"/>
          <w:szCs w:val="22"/>
          <w14:ligatures w14:val="none"/>
        </w:rPr>
        <w:t xml:space="preserve">unknown etiology. Early diagnosis offers a pathway toward more sustainable, preventative, and ultimately effective management of AD, with potential to reduce prevalence by 50% if onset is delayed </w:t>
      </w:r>
      <w:r w:rsidR="00015C59">
        <w:rPr>
          <w:rFonts w:ascii="Arial" w:hAnsi="Arial" w:eastAsia="Times New Roman" w:cs="Arial"/>
          <w:kern w:val="0"/>
          <w:sz w:val="22"/>
          <w:szCs w:val="22"/>
          <w14:ligatures w14:val="none"/>
        </w:rPr>
        <w:t xml:space="preserve">by </w:t>
      </w:r>
      <w:r w:rsidRPr="00DD3983">
        <w:rPr>
          <w:rFonts w:ascii="Arial" w:hAnsi="Arial" w:eastAsia="Times New Roman" w:cs="Arial"/>
          <w:kern w:val="0"/>
          <w:sz w:val="22"/>
          <w:szCs w:val="22"/>
          <w14:ligatures w14:val="none"/>
        </w:rPr>
        <w:t xml:space="preserve">5 years. </w:t>
      </w:r>
      <w:r w:rsidRPr="00DD3983">
        <w:rPr>
          <w:rFonts w:ascii="Arial" w:hAnsi="Arial" w:cs="Arial"/>
          <w:color w:val="000000"/>
          <w:sz w:val="22"/>
          <w:szCs w:val="22"/>
        </w:rPr>
        <w:t xml:space="preserve">However, the cross-disciplinary barriers for early diagnosis remain poorly understood. </w:t>
      </w:r>
      <w:r w:rsidRPr="00DD3983">
        <w:rPr>
          <w:rFonts w:ascii="Arial" w:hAnsi="Arial" w:eastAsia="Times New Roman" w:cs="Arial"/>
          <w:bCs/>
          <w:kern w:val="0"/>
          <w:sz w:val="22"/>
          <w:szCs w:val="22"/>
          <w14:ligatures w14:val="none"/>
        </w:rPr>
        <w:t>Thus, this scoping review investigates and characterizes the cross-disciplinary barriers to that exist for early AD diagnosis.</w:t>
      </w:r>
      <w:r w:rsidRPr="00DD3983" w:rsidR="004472FC">
        <w:rPr>
          <w:rFonts w:ascii="Arial" w:hAnsi="Arial" w:cs="Arial"/>
          <w:color w:val="000000"/>
          <w:sz w:val="22"/>
          <w:szCs w:val="22"/>
        </w:rPr>
        <w:t xml:space="preserve"> </w:t>
      </w:r>
    </w:p>
    <w:p w:rsidR="00F1261F" w:rsidP="00F1261F" w:rsidRDefault="00450D95" w14:paraId="18D4D074" w14:textId="77777777">
      <w:pPr>
        <w:pStyle w:val="Heading2"/>
        <w:rPr>
          <w:rFonts w:eastAsia="Times New Roman"/>
        </w:rPr>
      </w:pPr>
      <w:r w:rsidRPr="00DD3983">
        <w:rPr>
          <w:rFonts w:eastAsia="Times New Roman"/>
        </w:rPr>
        <w:t>Methods</w:t>
      </w:r>
    </w:p>
    <w:p w:rsidR="00B9037E" w:rsidP="00F6306A" w:rsidRDefault="00450D95" w14:paraId="4E8C403A" w14:textId="0E20BBE4">
      <w:pPr>
        <w:spacing w:after="100" w:afterAutospacing="1" w:line="240" w:lineRule="auto"/>
        <w:jc w:val="both"/>
        <w:outlineLvl w:val="1"/>
        <w:rPr>
          <w:rFonts w:ascii="Arial" w:hAnsi="Arial" w:cs="Arial"/>
          <w:color w:val="000000"/>
          <w:sz w:val="22"/>
          <w:szCs w:val="22"/>
        </w:rPr>
      </w:pPr>
      <w:r w:rsidRPr="00DD3983">
        <w:rPr>
          <w:rFonts w:ascii="Arial" w:hAnsi="Arial" w:eastAsia="Times New Roman" w:cs="Arial"/>
          <w:kern w:val="0"/>
          <w:sz w:val="22"/>
          <w:szCs w:val="22"/>
          <w14:ligatures w14:val="none"/>
        </w:rPr>
        <w:t xml:space="preserve">A systematic literature search was conducted through the Medline database accessed using PubMed and ProQuest. Topic-specific search strategies covered disciplines such as cognitive assessment, biomarkers, neuroimaging, and public health. Combined searches yielded 927 articles, with 151 progressing to extraction. Due to high output, neuroimaging and biomarker searches </w:t>
      </w:r>
      <w:proofErr w:type="gramStart"/>
      <w:r w:rsidRPr="00DD3983">
        <w:rPr>
          <w:rFonts w:ascii="Arial" w:hAnsi="Arial" w:eastAsia="Times New Roman" w:cs="Arial"/>
          <w:kern w:val="0"/>
          <w:sz w:val="22"/>
          <w:szCs w:val="22"/>
          <w14:ligatures w14:val="none"/>
        </w:rPr>
        <w:t>were limited</w:t>
      </w:r>
      <w:proofErr w:type="gramEnd"/>
      <w:r w:rsidRPr="00DD3983">
        <w:rPr>
          <w:rFonts w:ascii="Arial" w:hAnsi="Arial" w:eastAsia="Times New Roman" w:cs="Arial"/>
          <w:kern w:val="0"/>
          <w:sz w:val="22"/>
          <w:szCs w:val="22"/>
          <w14:ligatures w14:val="none"/>
        </w:rPr>
        <w:t xml:space="preserve"> to the last 5 years while public health and cognitive assessment topics ranged from January 2000-November 2024.</w:t>
      </w:r>
      <w:r w:rsidRPr="00DD3983" w:rsidR="004472FC">
        <w:rPr>
          <w:rFonts w:ascii="Arial" w:hAnsi="Arial" w:cs="Arial"/>
          <w:color w:val="000000"/>
          <w:sz w:val="22"/>
          <w:szCs w:val="22"/>
        </w:rPr>
        <w:t xml:space="preserve"> </w:t>
      </w:r>
    </w:p>
    <w:p w:rsidR="00F1261F" w:rsidP="00F1261F" w:rsidRDefault="00450D95" w14:paraId="7D99B730" w14:textId="77777777">
      <w:pPr>
        <w:pStyle w:val="Heading2"/>
        <w:rPr>
          <w:color w:val="000000"/>
        </w:rPr>
      </w:pPr>
      <w:r w:rsidRPr="00DD3983">
        <w:rPr>
          <w:rFonts w:eastAsia="Times New Roman"/>
        </w:rPr>
        <w:t>Results</w:t>
      </w:r>
      <w:r w:rsidRPr="00DD3983" w:rsidR="004472FC">
        <w:rPr>
          <w:color w:val="000000"/>
        </w:rPr>
        <w:t xml:space="preserve"> </w:t>
      </w:r>
    </w:p>
    <w:p w:rsidR="00B9037E" w:rsidP="00F6306A" w:rsidRDefault="00450D95" w14:paraId="1D7B0BB2" w14:textId="0F6700E3">
      <w:pPr>
        <w:spacing w:after="100" w:afterAutospacing="1" w:line="240" w:lineRule="auto"/>
        <w:jc w:val="both"/>
        <w:outlineLvl w:val="1"/>
        <w:rPr>
          <w:rFonts w:ascii="Arial" w:hAnsi="Arial" w:cs="Arial"/>
          <w:color w:val="000000"/>
          <w:sz w:val="22"/>
          <w:szCs w:val="22"/>
        </w:rPr>
      </w:pPr>
      <w:r w:rsidRPr="00DD3983">
        <w:rPr>
          <w:rFonts w:ascii="Arial" w:hAnsi="Arial" w:eastAsia="Times New Roman" w:cs="Arial"/>
          <w:kern w:val="0"/>
          <w:sz w:val="22"/>
          <w:szCs w:val="22"/>
          <w14:ligatures w14:val="none"/>
        </w:rPr>
        <w:t xml:space="preserve">Barriers to early AD diagnosis </w:t>
      </w:r>
      <w:proofErr w:type="gramStart"/>
      <w:r w:rsidRPr="00DD3983">
        <w:rPr>
          <w:rFonts w:ascii="Arial" w:hAnsi="Arial" w:eastAsia="Times New Roman" w:cs="Arial"/>
          <w:kern w:val="0"/>
          <w:sz w:val="22"/>
          <w:szCs w:val="22"/>
          <w14:ligatures w14:val="none"/>
        </w:rPr>
        <w:t>were found</w:t>
      </w:r>
      <w:proofErr w:type="gramEnd"/>
      <w:r w:rsidRPr="00DD3983">
        <w:rPr>
          <w:rFonts w:ascii="Arial" w:hAnsi="Arial" w:eastAsia="Times New Roman" w:cs="Arial"/>
          <w:kern w:val="0"/>
          <w:sz w:val="22"/>
          <w:szCs w:val="22"/>
          <w14:ligatures w14:val="none"/>
        </w:rPr>
        <w:t xml:space="preserve"> across three disciplines: biomedical (n=95), neuropsychological (n=29), and public health (n=27). Within biomedicine, key barriers included invasiveness, limited generalizability, lack of standardized protocols, inconsistent accuracy, and cost/accessibility issues. Neuropsychological barriers included inadequate accuracy for MCI detection, limited generalizability, conceptual limitations, and test administration challenges. Public health barriers encompassed geographic and economic disparities, healthcare system/provider factors, and cultural/social influences.</w:t>
      </w:r>
      <w:r w:rsidRPr="00DD3983" w:rsidR="004472FC">
        <w:rPr>
          <w:rFonts w:ascii="Arial" w:hAnsi="Arial" w:cs="Arial"/>
          <w:color w:val="000000"/>
          <w:sz w:val="22"/>
          <w:szCs w:val="22"/>
        </w:rPr>
        <w:t xml:space="preserve"> </w:t>
      </w:r>
    </w:p>
    <w:p w:rsidR="00F1261F" w:rsidP="00F1261F" w:rsidRDefault="00450D95" w14:paraId="502D07C3" w14:textId="77777777">
      <w:pPr>
        <w:pStyle w:val="Heading2"/>
        <w:rPr>
          <w:rFonts w:eastAsia="Times New Roman"/>
        </w:rPr>
      </w:pPr>
      <w:r w:rsidRPr="00DD3983">
        <w:rPr>
          <w:rFonts w:eastAsia="Times New Roman"/>
        </w:rPr>
        <w:t>Conclusion</w:t>
      </w:r>
    </w:p>
    <w:p w:rsidRPr="00DD3983" w:rsidR="00450D95" w:rsidP="00F6306A" w:rsidRDefault="00450D95" w14:paraId="3B70D953" w14:textId="2889F948">
      <w:pPr>
        <w:spacing w:after="100" w:afterAutospacing="1" w:line="240" w:lineRule="auto"/>
        <w:jc w:val="both"/>
        <w:outlineLvl w:val="1"/>
        <w:rPr>
          <w:rFonts w:ascii="Arial" w:hAnsi="Arial" w:cs="Arial"/>
          <w:color w:val="000000"/>
          <w:sz w:val="22"/>
          <w:szCs w:val="22"/>
        </w:rPr>
      </w:pPr>
      <w:r w:rsidRPr="00DD3983">
        <w:rPr>
          <w:rFonts w:ascii="Arial" w:hAnsi="Arial" w:eastAsia="Times New Roman" w:cs="Arial"/>
          <w:kern w:val="0"/>
          <w:sz w:val="22"/>
          <w:szCs w:val="22"/>
          <w14:ligatures w14:val="none"/>
        </w:rPr>
        <w:t xml:space="preserve">Early AD diagnosis </w:t>
      </w:r>
      <w:proofErr w:type="gramStart"/>
      <w:r w:rsidRPr="00DD3983">
        <w:rPr>
          <w:rFonts w:ascii="Arial" w:hAnsi="Arial" w:eastAsia="Times New Roman" w:cs="Arial"/>
          <w:kern w:val="0"/>
          <w:sz w:val="22"/>
          <w:szCs w:val="22"/>
          <w14:ligatures w14:val="none"/>
        </w:rPr>
        <w:t>was identified</w:t>
      </w:r>
      <w:proofErr w:type="gramEnd"/>
      <w:r w:rsidRPr="00DD3983">
        <w:rPr>
          <w:rFonts w:ascii="Arial" w:hAnsi="Arial" w:eastAsia="Times New Roman" w:cs="Arial"/>
          <w:kern w:val="0"/>
          <w:sz w:val="22"/>
          <w:szCs w:val="22"/>
          <w14:ligatures w14:val="none"/>
        </w:rPr>
        <w:t xml:space="preserve"> to have compounding barriers across disciplines. Cost and generalizability </w:t>
      </w:r>
      <w:proofErr w:type="gramStart"/>
      <w:r w:rsidRPr="00DD3983">
        <w:rPr>
          <w:rFonts w:ascii="Arial" w:hAnsi="Arial" w:eastAsia="Times New Roman" w:cs="Arial"/>
          <w:kern w:val="0"/>
          <w:sz w:val="22"/>
          <w:szCs w:val="22"/>
          <w14:ligatures w14:val="none"/>
        </w:rPr>
        <w:t>were identified</w:t>
      </w:r>
      <w:proofErr w:type="gramEnd"/>
      <w:r w:rsidRPr="00DD3983">
        <w:rPr>
          <w:rFonts w:ascii="Arial" w:hAnsi="Arial" w:eastAsia="Times New Roman" w:cs="Arial"/>
          <w:kern w:val="0"/>
          <w:sz w:val="22"/>
          <w:szCs w:val="22"/>
          <w14:ligatures w14:val="none"/>
        </w:rPr>
        <w:t xml:space="preserve"> as pervasive cross-disciplinary barriers. Consequently, future initiatives should aim to decrease cost or improve generalizability. Recommendations include implementing modern cognitive assessments, developing personalized risk-based screening pathways, and supporting public health education.</w:t>
      </w:r>
    </w:p>
    <w:p w:rsidRPr="00DD3983" w:rsidR="00450D95" w:rsidP="006618CC" w:rsidRDefault="00450D95" w14:paraId="156D3626" w14:textId="77777777">
      <w:pPr>
        <w:jc w:val="both"/>
        <w:rPr>
          <w:rFonts w:ascii="Arial" w:hAnsi="Arial" w:cs="Arial"/>
          <w:sz w:val="22"/>
          <w:szCs w:val="22"/>
        </w:rPr>
      </w:pPr>
    </w:p>
    <w:p w:rsidRPr="00DD3983" w:rsidR="003D7B5A" w:rsidP="006618CC" w:rsidRDefault="003D7B5A" w14:paraId="36BDD2E5" w14:textId="77777777">
      <w:pPr>
        <w:jc w:val="both"/>
        <w:rPr>
          <w:rFonts w:ascii="Arial" w:hAnsi="Arial" w:cs="Arial"/>
          <w:sz w:val="22"/>
          <w:szCs w:val="22"/>
        </w:rPr>
      </w:pPr>
    </w:p>
    <w:p w:rsidR="001E5A1D" w:rsidP="006618CC" w:rsidRDefault="001E5A1D" w14:paraId="78470DE7" w14:textId="77777777">
      <w:pPr>
        <w:jc w:val="both"/>
        <w:rPr>
          <w:rFonts w:ascii="Arial" w:hAnsi="Arial" w:cs="Arial"/>
          <w:sz w:val="22"/>
          <w:szCs w:val="22"/>
        </w:rPr>
      </w:pPr>
    </w:p>
    <w:p w:rsidR="001E5A1D" w:rsidP="006618CC" w:rsidRDefault="001E5A1D" w14:paraId="349EBC2A" w14:textId="77777777">
      <w:pPr>
        <w:jc w:val="both"/>
        <w:rPr>
          <w:rFonts w:ascii="Arial" w:hAnsi="Arial" w:cs="Arial"/>
          <w:sz w:val="22"/>
          <w:szCs w:val="22"/>
        </w:rPr>
      </w:pPr>
    </w:p>
    <w:p w:rsidRPr="00DD3983" w:rsidR="00D72660" w:rsidP="00F6306A" w:rsidRDefault="00D72660" w14:paraId="1F567A9E" w14:textId="71C46E30">
      <w:pPr>
        <w:pStyle w:val="Heading1"/>
        <w:spacing w:before="0"/>
      </w:pPr>
      <w:r w:rsidRPr="00DD3983">
        <w:t>Introduction</w:t>
      </w:r>
    </w:p>
    <w:p w:rsidRPr="00DD3983" w:rsidR="00C95CF0" w:rsidP="00F6306A" w:rsidRDefault="00B525C0" w14:paraId="7337B9B5" w14:textId="0FFE1A9F">
      <w:pPr>
        <w:jc w:val="both"/>
        <w:rPr>
          <w:rFonts w:ascii="Arial" w:hAnsi="Arial" w:cs="Arial"/>
          <w:sz w:val="22"/>
          <w:szCs w:val="22"/>
        </w:rPr>
      </w:pPr>
      <w:r w:rsidRPr="00DD3983">
        <w:rPr>
          <w:rFonts w:ascii="Arial" w:hAnsi="Arial" w:cs="Arial"/>
          <w:sz w:val="22"/>
          <w:szCs w:val="22"/>
        </w:rPr>
        <w:t>Alzheimer’s disease (AD) is a progressive neurodegenerative disorder and the most common cause of dementia globally. AD is most commonly characterized by a gradual decline in cognitive function, typically beginning with episodic memory impairment, and is pathologically defined by the accumulation of both amyloid-β (Aβ) plaques and neurofibrillary tau tangles with neurodegeneration</w:t>
      </w:r>
      <w:r w:rsidR="008126D0">
        <w:rPr>
          <w:rFonts w:ascii="Arial" w:hAnsi="Arial" w:cs="Arial"/>
          <w:sz w:val="22"/>
          <w:szCs w:val="22"/>
        </w:rPr>
        <w:t>.</w:t>
      </w:r>
      <w:r w:rsidRPr="00DD3983">
        <w:rPr>
          <w:rFonts w:ascii="Arial" w:hAnsi="Arial" w:cs="Arial"/>
          <w:sz w:val="22"/>
          <w:szCs w:val="22"/>
        </w:rPr>
        <w:fldChar w:fldCharType="begin"/>
      </w:r>
      <w:r w:rsidR="00025355">
        <w:rPr>
          <w:rFonts w:ascii="Arial" w:hAnsi="Arial" w:cs="Arial"/>
          <w:sz w:val="22"/>
          <w:szCs w:val="22"/>
        </w:rPr>
        <w:instrText xml:space="preserve"> ADDIN ZOTERO_ITEM CSL_CITATION {"citationID":"bbuSBr64","properties":{"formattedCitation":"\\super 1\\nosupersub{}","plainCitation":"1","noteIndex":0},"citationItems":[{"id":1986,"uris":["http://zotero.org/users/10927406/items/TEUQGIFB"],"itemData":{"id":1986,"type":"article-journal","abstract":"In 2011, the National Institute on Aging and Alzheimer's Association created separate diagnostic recommendations for the preclinical, mild cognitive impairment, and dementia stages of Alzheimer's disease. Scientific progress in the interim led to an initiative by the National Institute on Aging and Alzheimer's Association to update and unify the 2011 guidelines. This unifying update is labeled a “research framework” because its intended use is for observational and interventional research, not routine clinical care. In the National Institute on Aging and Alzheimer's Association Research Framework, Alzheimer's disease (AD) is defined by its underlying pathologic processes that can be documented by postmortem examination or in vivo by biomarkers. The diagnosis is not based on the clinical consequences of the disease (i.e., symptoms/signs) in this research framework, which shifts the definition of AD in living people from a syndromal to a biological construct. The research framework focuses on the diagnosis of AD with biomarkers in living persons. Biomarkers are grouped into those of β amyloid deposition, pathologic tau, and neurodegeneration [AT(N)]. This ATN classification system groups different biomarkers (imaging and biofluids) by the pathologic process each measures. The AT(N) system is flexible in that new biomarkers can be added to the three existing AT(N) groups, and new biomarker groups beyond AT(N) can be added when they become available. We focus on AD as a continuum, and cognitive staging may be accomplished using continuous measures. However, we also outline two different categorical cognitive schemes for staging the severity of cognitive impairment: a scheme using three traditional syndromal categories and a six-stage numeric scheme. It is important to stress that this framework seeks to create a common language with which investigators can generate and test hypotheses about the interactions among different pathologic processes (denoted by biomarkers) and cognitive symptoms. We appreciate the concern that this biomarker-based research framework has the potential to be misused. Therefore, we emphasize, first, it is premature and inappropriate to use this research framework in general medical practice. Second, this research framework should not be used to restrict alternative approaches to hypothesis testing that do not use biomarkers. There will be situations where biomarkers are not available or requiring them would be counterproductive to the specific research goals (discussed in more detail later in the document). Thus, biomarker-based research should not be considered a template for all research into age-related cognitive impairment and dementia; rather, it should be applied when it is fit for the purpose of the specific research goals of a study. Importantly, this framework should be examined in diverse populations. Although it is possible that β-amyloid plaques and neurofibrillary tau deposits are not causal in AD pathogenesis, it is these abnormal protein deposits that define AD as a unique neurodegenerative disease among different disorders that can lead to dementia. We envision that defining AD as a biological construct will enable a more accurate characterization and understanding of the sequence of events that lead to cognitive impairment that is associated with AD, as well as the multifactorial etiology of dementia. This approach also will enable a more precise approach to interventional trials where specific pathways can be targeted in the disease process and in the appropriate people.","container-title":"Alzheimer's &amp; Dementia","DOI":"10.1016/j.jalz.2018.02.018","ISSN":"1552-5260","issue":"4","journalAbbreviation":"Alzheimer's &amp; Dementia","page":"535-562","source":"ScienceDirect","title":"NIA-AA Research Framework: Toward a biological definition of Alzheimer's disease","title-short":"NIA-AA Research Framework","volume":"14","author":[{"family":"Jack","given":"Clifford R."},{"family":"Bennett","given":"David A."},{"family":"Blennow","given":"Kaj"},{"family":"Carrillo","given":"Maria C."},{"family":"Dunn","given":"Billy"},{"family":"Haeberlein","given":"Samantha Budd"},{"family":"Holtzman","given":"David M."},{"family":"Jagust","given":"William"},{"family":"Jessen","given":"Frank"},{"family":"Karlawish","given":"Jason"},{"family":"Liu","given":"Enchi"},{"family":"Molinuevo","given":"Jose Luis"},{"family":"Montine","given":"Thomas"},{"family":"Phelps","given":"Creighton"},{"family":"Rankin","given":"Katherine P."},{"family":"Rowe","given":"Christopher C."},{"family":"Scheltens","given":"Philip"},{"family":"Siemers","given":"Eric"},{"family":"Snyder","given":"Heather M."},{"family":"Sperling","given":"Reisa"},{"family":"Elliott","given":"Cerise"},{"family":"Masliah","given":"Eliezer"},{"family":"Ryan","given":"Laurie"},{"family":"Silverberg","given":"Nina"}],"issued":{"date-parts":[["2018",4,1]]}}}],"schema":"https://github.com/citation-style-language/schema/raw/master/csl-citation.json"} </w:instrText>
      </w:r>
      <w:r w:rsidRPr="00DD3983">
        <w:rPr>
          <w:rFonts w:ascii="Arial" w:hAnsi="Arial" w:cs="Arial"/>
          <w:sz w:val="22"/>
          <w:szCs w:val="22"/>
        </w:rPr>
        <w:fldChar w:fldCharType="separate"/>
      </w:r>
      <w:r w:rsidRPr="00025355" w:rsidR="00025355">
        <w:rPr>
          <w:rFonts w:ascii="Arial" w:hAnsi="Arial" w:cs="Arial"/>
          <w:kern w:val="0"/>
          <w:sz w:val="22"/>
          <w:vertAlign w:val="superscript"/>
        </w:rPr>
        <w:t>1</w:t>
      </w:r>
      <w:r w:rsidRPr="00DD3983">
        <w:rPr>
          <w:rFonts w:ascii="Arial" w:hAnsi="Arial" w:cs="Arial"/>
          <w:sz w:val="22"/>
          <w:szCs w:val="22"/>
        </w:rPr>
        <w:fldChar w:fldCharType="end"/>
      </w:r>
      <w:r w:rsidR="008126D0">
        <w:rPr>
          <w:rFonts w:ascii="Arial" w:hAnsi="Arial" w:cs="Arial"/>
          <w:sz w:val="22"/>
          <w:szCs w:val="22"/>
        </w:rPr>
        <w:t xml:space="preserve"> </w:t>
      </w:r>
      <w:r w:rsidRPr="00DD3983">
        <w:rPr>
          <w:rFonts w:ascii="Arial" w:hAnsi="Arial" w:cs="Arial"/>
          <w:sz w:val="22"/>
          <w:szCs w:val="22"/>
        </w:rPr>
        <w:t>Because AD is a progressive neurodegenerative disorder, pathological changes can begin decades before clinical symptoms emerge</w:t>
      </w:r>
      <w:r w:rsidR="008126D0">
        <w:rPr>
          <w:rFonts w:ascii="Arial" w:hAnsi="Arial" w:cs="Arial"/>
          <w:sz w:val="22"/>
          <w:szCs w:val="22"/>
        </w:rPr>
        <w:t>.</w:t>
      </w:r>
      <w:r w:rsidRPr="00DD3983">
        <w:rPr>
          <w:rFonts w:ascii="Arial" w:hAnsi="Arial" w:cs="Arial"/>
          <w:sz w:val="22"/>
          <w:szCs w:val="22"/>
        </w:rPr>
        <w:fldChar w:fldCharType="begin"/>
      </w:r>
      <w:r w:rsidR="00025355">
        <w:rPr>
          <w:rFonts w:ascii="Arial" w:hAnsi="Arial" w:cs="Arial"/>
          <w:sz w:val="22"/>
          <w:szCs w:val="22"/>
        </w:rPr>
        <w:instrText xml:space="preserve"> ADDIN ZOTERO_ITEM CSL_CITATION {"citationID":"br61M4cx","properties":{"formattedCitation":"\\super 2\\uc0\\u8211{}4\\nosupersub{}","plainCitation":"2–4","noteIndex":0},"citationItems":[{"id":1984,"uris":["http://zotero.org/users/10927406/items/ENDHQLX9"],"itemData":{"id":1984,"type":"article-journal","abstract":"Two thousand three hundred and thirty two nonselected brains from 1- to 100-year-old individuals were examined using immunocytochemistry (AT8) and Gallyas silver staining for abnormal tau; immunocytochemistry (4G8) and Campbell-Switzer staining were used for the detection ofβ-amyloid. A total of 342 cases was negative in the Gallyas stain but when restaged for AT8 only 10 were immunonegative. Fifty-eight cases had subcortical tau predominantly in the locus coeruleus, but there was no abnormal cortical tau (subcortical Stages a-c). Cortical involvement (abnormal tau in neurites) was identified first in the transentorhinal region (Stage 1a, 38 cases). Transentorhinal pyramidal cells displayed pretangle material (Stage 1b, 236 cases). Pretangles gradually became argyrophilic neurofibrillary tangles (NFTs) that progressed in parallel with NFT Stages I to VI. Pretangles restricted to subcortical sites were seen chiefly at younger ages. Of the total cases, 1,031 (44.2%) had β-amyloid plaques. The first plaques occurred in the neocortex after the onset of tauopathy in the brainstem. Plaques generally developed in the 40s in 4% of all cases, culminating in their tenth decade (75%). β-amyloid plaques and NFTs were significantly correlated (p &amp;lt; 0.0001). These data suggest that tauopathy associated with sporadic Alzheimer disease may begin earlier than previously thought and possibly in the lower brainstem rather than in the transentorhinal region.","container-title":"Journal of Neuropathology &amp; Experimental Neurology","DOI":"10.1097/NEN.0b013e318232a379","ISSN":"0022-3069","issue":"11","journalAbbreviation":"Journal of Neuropathology &amp; Experimental Neurology","page":"960-969","source":"Silverchair","title":"Stages of the Pathologic Process in Alzheimer Disease: Age Categories From 1 to 100 Years","title-short":"Stages of the Pathologic Process in Alzheimer Disease","volume":"70","author":[{"family":"Braak","given":"Heiko"},{"family":"Thal","given":"Dietmar R."},{"family":"Ghebremedhin","given":"Estifanos"},{"family":"Del Tredici","given":"Kelly"}],"issued":{"date-parts":[["2011",11,1]]}}},{"id":1985,"uris":["http://zotero.org/users/10927406/items/YQX4N27Q"],"itemData":{"id":1985,"type":"article-journal","abstract":"Background: The deposition of the amyloid β protein (Aβ) is a histopathologic hallmark of AD. The regions of the medial temporal lobe (MTL) are hierarchically involved in Aβ-deposition.Objective: To clarify whether there is a hierarchical involvement of the regions of the entire brain as well and whether there are differences in the expansion of Aβ-pathology between clinically proven AD cases and nondemented cases with AD-related pathology, the authors investigated 47 brains from demented and nondemented patients with AD-related pathology covering all phases of β-amyloidosis in the MTL (AβMTL phases) and four control brains without any AD-related pathology.Methods: Aβ deposits were detected by the use of the Campbell-Switzer silver technique and by immunohistochemistry in sections covering all brain regions and brainstem nuclei. It was analyzed how often distinct regions exhibited Aβ deposits.Results: In the first of five phases in the evolution of β-amyloidosis Aβ deposits are found exclusively in the neocortex. The second phase is characterized by the additional involvement of allocortical brain regions. In phase 3, diencephalic nuclei, the striatum, and the cholinergic nuclei of the basal forebrain exhibit Aβ deposits as well. Several brainstem nuclei become additionally involved in phase 4. Phase 5, finally, is characterized by cerebellar Aβ-deposition. The 17 clinically proven AD cases exhibit Aβ-phases 3, 4, or 5. The nine nondemented cases with AD-related Aβ pathology show Aβ-phases 1, 2, or 3.Conclusions: Aβ-deposition in the entire brain follows a distinct sequence in which the regions are hierarchically involved. Aβ-deposition, thereby, expands anterogradely into regions that receive neuronal projections from regions already exhibiting Aβ. There are also indications that clinically proven AD cases with full-blown β-amyloidosis may be preceded in early stages by nondemented cases exhibiting AD-related Aβ pathology.","container-title":"Neurology","DOI":"10.1212/WNL.58.12.1791","issue":"12","note":"publisher: Wolters Kluwer","page":"1791-1800","source":"neurology.org (Atypon)","title":"Phases of Aβ-deposition in the human brain and its relevance for the development of AD","volume":"58","author":[{"family":"Thal","given":"Dietmar R."},{"family":"Rüb","given":"Udo"},{"family":"Orantes","given":"Mario"},{"family":"Braak","given":"Heiko"}],"issued":{"date-parts":[["2002",6,25]]}}},{"id":1983,"uris":["http://zotero.org/users/10927406/items/UUD8U7A2"],"itemData":{"id":1983,"type":"article-journal","abstract":"Background\nSimilar to most chronic diseases, Alzheimer's disease (AD) develops slowly from a preclinical phase into a fully expressed clinical syndrome. We aimed to use longitudinal data to calculate the rates of amyloid β (Aβ) deposition, cerebral atrophy, and cognitive decline.\nMethods\nIn this prospective cohort study, healthy controls, patients with mild cognitive impairment (MCI), and patients with AD were assessed at enrolment and every 18 months. At every visit, participants underwent neuropsychological examination, MRI, and a carbon-11-labelled Pittsburgh compound B (11C-PiB) PET scan. We included participants with three or more 11C-PiB PET follow-up assessments. Aβ burden was expressed as 11C-PiB standardised uptake value ratio (SUVR) with the cerebellar cortex as reference region. An SUVR of 1·5 was used to discriminate high from low Aβ burdens. The slope of the regression plots over 3–5 years was used to estimate rates of change for Aβ deposition, MRI volumetrics, and cognition. We included those participants with a positive rate of Aβ deposition to calculate the trajectory of each variable over time.\nFindings\n200 participants (145 healthy controls, 36 participants with MCI, and 19 participants with AD) were assessed at enrolment and every 18 months for a mean follow-up of 3·8 (95% CI CI 3·6–3·9) years. At baseline, significantly higher Aβ burdens were noted in patients with AD (2·27, SD 0·43) and those with MCI (1·94, 0·64) than in healthy controls (1·38, 0·39). At follow-up, 163 (82%) of the 200 participants showed positive rates of Aβ accumulation. Aβ deposition was estimated to take 19·2 (95% CI 16·8–22·5) years in an almost linear fashion—with a mean increase of 0·043 (95% CI 0·037–0·049) SUVR per year—to go from the threshold of 11C-PiB positivity (1·5 SUVR) to the levels observed in AD. It was estimated to take 12·0 (95% CI 10·1–14·9) years from the levels observed in healthy controls with low Aβ deposition (1·2 [SD 0·1] SUVR) to the threshold of 11C-PiB positivity. As AD progressed, the rate of Aβ deposition slowed towards a plateau. Our projections suggest a prolonged preclinical phase of AD in which Aβ deposition reaches our threshold of positivity at 17·0 (95% CI 14·9–19·9) years, hippocampal atrophy at 4·2 (3·6–5·1) years, and memory impairment at 3·3 (2·5–4·5) years before the onset of dementia (clinical dementia rating score 1).\nInterpretation\nAβ deposition is slow and protracted, likely to extend for more than two decades. Such predictions of the rate of preclinical changes and the onset of the clinical phase of AD will facilitate the design and timing of therapeutic interventions aimed at modifying the course of this illness.\nFunding\nScience and Industry Endowment Fund (Australia), The Commonwealth Scientific and Industrial Research Organisation (Australia), The National Health and Medical Research Council of Australia Program and Project Grants, the Austin Hospital Medical Research Foundation, Victorian State Government, The Alzheimer's Drug Discovery Foundation, and the Alzheimer's Association.","container-title":"The Lancet Neurology","DOI":"10.1016/S1474-4422(13)70044-9","ISSN":"1474-4422","issue":"4","journalAbbreviation":"The Lancet Neurology","page":"357-367","source":"ScienceDirect","title":"Amyloid β deposition, neurodegeneration, and cognitive decline in sporadic Alzheimer's disease: a prospective cohort study","title-short":"Amyloid β deposition, neurodegeneration, and cognitive decline in sporadic Alzheimer's disease","volume":"12","author":[{"family":"Villemagne","given":"Victor L"},{"family":"Burnham","given":"Samantha"},{"family":"Bourgeat","given":"Pierrick"},{"family":"Brown","given":"Belinda"},{"family":"Ellis","given":"Kathryn A"},{"family":"Salvado","given":"Olivier"},{"family":"Szoeke","given":"Cassandra"},{"family":"Macaulay","given":"S Lance"},{"family":"Martins","given":"Ralph"},{"family":"Maruff","given":"Paul"},{"family":"Ames","given":"David"},{"family":"Rowe","given":"Christopher C"},{"family":"Masters","given":"Colin L"}],"issued":{"date-parts":[["2013",4,1]]}}}],"schema":"https://github.com/citation-style-language/schema/raw/master/csl-citation.json"} </w:instrText>
      </w:r>
      <w:r w:rsidRPr="00DD3983">
        <w:rPr>
          <w:rFonts w:ascii="Arial" w:hAnsi="Arial" w:cs="Arial"/>
          <w:sz w:val="22"/>
          <w:szCs w:val="22"/>
        </w:rPr>
        <w:fldChar w:fldCharType="separate"/>
      </w:r>
      <w:r w:rsidRPr="00025355" w:rsidR="00025355">
        <w:rPr>
          <w:rFonts w:ascii="Arial" w:hAnsi="Arial" w:cs="Arial"/>
          <w:kern w:val="0"/>
          <w:sz w:val="22"/>
          <w:vertAlign w:val="superscript"/>
        </w:rPr>
        <w:t>2–4</w:t>
      </w:r>
      <w:r w:rsidRPr="00DD3983">
        <w:rPr>
          <w:rFonts w:ascii="Arial" w:hAnsi="Arial" w:cs="Arial"/>
          <w:sz w:val="22"/>
          <w:szCs w:val="22"/>
        </w:rPr>
        <w:fldChar w:fldCharType="end"/>
      </w:r>
    </w:p>
    <w:p w:rsidRPr="00DD3983" w:rsidR="00B525C0" w:rsidP="006618CC" w:rsidRDefault="00B525C0" w14:paraId="2F5C64BB" w14:textId="63E5DF8B">
      <w:pPr>
        <w:jc w:val="both"/>
        <w:rPr>
          <w:rFonts w:ascii="Arial" w:hAnsi="Arial" w:cs="Arial"/>
          <w:sz w:val="22"/>
          <w:szCs w:val="22"/>
        </w:rPr>
      </w:pPr>
      <w:r w:rsidRPr="00DD3983">
        <w:rPr>
          <w:rFonts w:ascii="Arial" w:hAnsi="Arial" w:cs="Arial"/>
          <w:sz w:val="22"/>
          <w:szCs w:val="22"/>
        </w:rPr>
        <w:t xml:space="preserve">Consequently, the disease course is frequently conceptualized as a continuum. </w:t>
      </w:r>
      <w:r w:rsidRPr="00DD3983" w:rsidR="009B6994">
        <w:rPr>
          <w:rFonts w:ascii="Arial" w:hAnsi="Arial" w:cs="Arial"/>
          <w:sz w:val="22"/>
          <w:szCs w:val="22"/>
        </w:rPr>
        <w:t>In common frameworks i</w:t>
      </w:r>
      <w:r w:rsidRPr="00DD3983">
        <w:rPr>
          <w:rFonts w:ascii="Arial" w:hAnsi="Arial" w:cs="Arial"/>
          <w:sz w:val="22"/>
          <w:szCs w:val="22"/>
        </w:rPr>
        <w:t>t begins with subjective memory decline (SMD), where individuals perceive cognitive lapses but still perform within normal ranges on standard cognitive tests. Next, mild cognitive impairment (MCI) involves measurable, yet not functionally disabling, deficits in one or more cognitive domains. Over time, a proportion of individuals with MCI progress to clinically diagnosable dementia, wherein the severity of cognitive decline significantly interferes with the activities of daily living</w:t>
      </w:r>
      <w:r w:rsidR="00E0604E">
        <w:rPr>
          <w:rFonts w:ascii="Arial" w:hAnsi="Arial" w:cs="Arial"/>
          <w:sz w:val="22"/>
          <w:szCs w:val="22"/>
        </w:rPr>
        <w:t>.</w:t>
      </w:r>
      <w:r w:rsidRPr="00DD3983">
        <w:rPr>
          <w:rFonts w:ascii="Arial" w:hAnsi="Arial" w:cs="Arial"/>
          <w:sz w:val="22"/>
          <w:szCs w:val="22"/>
        </w:rPr>
        <w:fldChar w:fldCharType="begin"/>
      </w:r>
      <w:r w:rsidR="00025355">
        <w:rPr>
          <w:rFonts w:ascii="Arial" w:hAnsi="Arial" w:cs="Arial"/>
          <w:sz w:val="22"/>
          <w:szCs w:val="22"/>
        </w:rPr>
        <w:instrText xml:space="preserve"> ADDIN ZOTERO_ITEM CSL_CITATION {"citationID":"Z2F5rgz7","properties":{"formattedCitation":"\\super 5\\nosupersub{}","plainCitation":"5","noteIndex":0},"citationItems":[{"id":1982,"uris":["http://zotero.org/users/10927406/items/MKLHMZUM"],"itemData":{"id":1982,"type":"article-journal","abstract":"Basic research advances in recent years have furthered our understanding of the natural history of Alzheimer’s disease (AD). It is now recognized that pathophysiological changes begin many years prior to clinical manifestations of disease and the spectrum of AD spans from clinically asymptomatic to severely impaired. Defining AD purely by its clinical presentation is thus artificial and efforts have been made to recognize the disease based on both clinical and biomarker findings. Advances with biomarkers have also prompted a shift in how the disease is considered as a clinico-pathophysiological entity, with an increasing appreciation that AD should not only be viewed with discrete and defined clinical stages, but as a multifaceted process moving along a seamless continuum. Acknowledging this concept is critical to understanding the development process for disease-modifying therapies, and for initiating effective diagnostic and disease management options. In this article, we discuss the concept of a disease continuum from pathophysiological, biomarker, and clinical perspectives, and highlight the importance of considering AD as a continuum rather than discrete stages. While the pathophysiology of AD has still not been elucidated completely, there is ample evidence to support researchers and clinicians embracing the view of a disease continuum in their study, diagnosis, and management of the disease.","container-title":"Alzheimer's Research &amp; Therapy","DOI":"10.1186/s13195-017-0283-5","ISSN":"1758-9193","issue":"1","journalAbbreviation":"Alzheimer's Research &amp; Therapy","page":"60","source":"BioMed Central","title":"On the path to 2025: understanding the Alzheimer’s disease continuum","title-short":"On the path to 2025","volume":"9","author":[{"family":"Aisen","given":"Paul S."},{"family":"Cummings","given":"Jeffrey"},{"family":"Jack","given":"Clifford R."},{"family":"Morris","given":"John C."},{"family":"Sperling","given":"Reisa"},{"family":"Frölich","given":"Lutz"},{"family":"Jones","given":"Roy W."},{"family":"Dowsett","given":"Sherie A."},{"family":"Matthews","given":"Brandy R."},{"family":"Raskin","given":"Joel"},{"family":"Scheltens","given":"Philip"},{"family":"Dubois","given":"Bruno"}],"issued":{"date-parts":[["2017",8,9]]}}}],"schema":"https://github.com/citation-style-language/schema/raw/master/csl-citation.json"} </w:instrText>
      </w:r>
      <w:r w:rsidRPr="00DD3983">
        <w:rPr>
          <w:rFonts w:ascii="Arial" w:hAnsi="Arial" w:cs="Arial"/>
          <w:sz w:val="22"/>
          <w:szCs w:val="22"/>
        </w:rPr>
        <w:fldChar w:fldCharType="separate"/>
      </w:r>
      <w:r w:rsidRPr="00025355" w:rsidR="00025355">
        <w:rPr>
          <w:rFonts w:ascii="Arial" w:hAnsi="Arial" w:cs="Arial"/>
          <w:kern w:val="0"/>
          <w:sz w:val="22"/>
          <w:vertAlign w:val="superscript"/>
        </w:rPr>
        <w:t>5</w:t>
      </w:r>
      <w:r w:rsidRPr="00DD3983">
        <w:rPr>
          <w:rFonts w:ascii="Arial" w:hAnsi="Arial" w:cs="Arial"/>
          <w:sz w:val="22"/>
          <w:szCs w:val="22"/>
        </w:rPr>
        <w:fldChar w:fldCharType="end"/>
      </w:r>
      <w:r w:rsidRPr="00DD3983">
        <w:rPr>
          <w:rFonts w:ascii="Arial" w:hAnsi="Arial" w:cs="Arial"/>
          <w:sz w:val="22"/>
          <w:szCs w:val="22"/>
        </w:rPr>
        <w:t xml:space="preserve"> Dementia itself is often further subdivided into early, moderate, and severe stages, each marked by increasingly significant impairments—culminating in profound neurodegeneration that compromises basal cognitive functions and ultimately becoming fatal</w:t>
      </w:r>
      <w:r w:rsidR="008126D0">
        <w:rPr>
          <w:rFonts w:ascii="Arial" w:hAnsi="Arial" w:cs="Arial"/>
          <w:sz w:val="22"/>
          <w:szCs w:val="22"/>
        </w:rPr>
        <w:t>.</w:t>
      </w:r>
      <w:r w:rsidRPr="00DD3983">
        <w:rPr>
          <w:rFonts w:ascii="Arial" w:hAnsi="Arial" w:cs="Arial"/>
          <w:sz w:val="22"/>
          <w:szCs w:val="22"/>
        </w:rPr>
        <w:fldChar w:fldCharType="begin"/>
      </w:r>
      <w:r w:rsidR="00025355">
        <w:rPr>
          <w:rFonts w:ascii="Arial" w:hAnsi="Arial" w:cs="Arial"/>
          <w:sz w:val="22"/>
          <w:szCs w:val="22"/>
        </w:rPr>
        <w:instrText xml:space="preserve"> ADDIN ZOTERO_ITEM CSL_CITATION {"citationID":"mPFEJGcH","properties":{"formattedCitation":"\\super 6\\nosupersub{}","plainCitation":"6","noteIndex":0},"citationItems":[{"id":1981,"uris":["http://zotero.org/users/10927406/items/EEDT8GDN"],"itemData":{"id":1981,"type":"chapter","abstract":"Dementia is a general term used to describe a significant decline in cognitive ability that interferes with a person's activities of daily living. Alzheimer disease (AD) is the most prevalent type of dementia, accounting for at least two-thirds of cases in individuals aged 65 and older. AD is a neurodegenerative condition with insidious onset and progressive impairment of behavioral and cognitive functions. These functions include memory, comprehension, language, attention, reasoning, and judgment. While AD does not directly cause death, it substantially raises vulnerability to other complications, which can eventually lead to a person's death.  According to Centers for Disease Control and Prevention (CDC) data, AD is ranked as the seventh leading cause of death in the United States in 2022, while COVID-19 ranked fourth. Before the COVID-19 pandemic, AD was the sixth leading cause of death following stroke.. AD typically manifests after age 65, referred to as late-onset AD (LOAD). However, early-onset AD (EOAD), occurring before 65, is less common and seen in about 5% of AD patients. EOAD often exhibits atypical symptoms, and its diagnosis is usually delayed, leading to a more aggressive disease course.  Significant progress has been made in developing biomarkers for specific and early diagnosis of AD over the past decade. These biomarkers include neuroimaging markers obtained through amyloid and tau PET scans, cerebrospinal fluid (CSF), and plasma markers, such as amyloid, tau, and phospho-tau levels. There is no cure for AD, although there are treatments available that may alleviate and manage some of its symptoms. In recent years, there have been significant advancements in the development of medications that aim to moderate the progression of the disease, particularly with the discovery of new disease biomarkers. The symptoms of AD can vary depending on the stage of the disease. AD is classified into different stages based on the level of cognitive impairment and disability experienced by individuals. These stages include the preclinical or presymptomatic stage, mild cognitive impairment, and dementia stage. The dementia stage is further divided into mild, moderate, and severe stages (see Graph. AD Stages from Preclinical to Severe Disease). This staging system is distinct from the diagnostic criteria outlined in the Diagnostic and Statistical Manual of Mental Disorders, 5th edition (DSM-5) for AD. Episodic short-term memory loss is the initial and most common presenting symptom of typical AD. Individuals may have difficulty retaining new information while still recalling long-term memories. Individuals may experience problem-solving, judgment, executive functioning, and organizational skills impairments following short-term memory loss.  They may struggle with tasks that require multitasking and abstract thinking. In the early stages of the disease, executive functioning impairments can range from subtle to significant. Instrumental activities of daily living such as driving, financial management, cooking, and detailed activity planning are affected relatively early in their dementia. These early signs of cognitive decline are followed by language disorder and impaired visuospatial skills. Neuropsychiatric symptoms like apathy, social withdrawal, disinhibition, agitation, psychosis, and wandering are also common in the moderate to late stages. Difficulty performing learned motor tasks (dyspraxia), olfactory dysfunction, sleep disturbances, and extrapyramidal motor signs like dystonia, akathisia, and Parkinsonian symptoms occur late in the disease. Primitive reflexes, incontinence, and total dependence on caregivers follow this.","call-number":"NBK499922","container-title":"StatPearls","event-place":"Treasure Island (FL)","language":"eng","license":"Copyright © 2025, StatPearls Publishing LLC.","note":"PMID: 29763097","publisher":"StatPearls Publishing","publisher-place":"Treasure Island (FL)","source":"PubMed","title":"Alzheimer Disease","URL":"http://www.ncbi.nlm.nih.gov/books/NBK499922/","author":[{"family":"Kumar","given":"Anil"},{"family":"Sidhu","given":"Jaskirat"},{"family":"Lui","given":"Forshing"},{"family":"Tsao","given":"Jack W."}],"accessed":{"date-parts":[["2025",3,19]]},"issued":{"date-parts":[["2025"]]}}}],"schema":"https://github.com/citation-style-language/schema/raw/master/csl-citation.json"} </w:instrText>
      </w:r>
      <w:r w:rsidRPr="00DD3983">
        <w:rPr>
          <w:rFonts w:ascii="Arial" w:hAnsi="Arial" w:cs="Arial"/>
          <w:sz w:val="22"/>
          <w:szCs w:val="22"/>
        </w:rPr>
        <w:fldChar w:fldCharType="separate"/>
      </w:r>
      <w:r w:rsidRPr="00025355" w:rsidR="00025355">
        <w:rPr>
          <w:rFonts w:ascii="Arial" w:hAnsi="Arial" w:cs="Arial"/>
          <w:kern w:val="0"/>
          <w:sz w:val="22"/>
          <w:vertAlign w:val="superscript"/>
        </w:rPr>
        <w:t>6</w:t>
      </w:r>
      <w:r w:rsidRPr="00DD3983">
        <w:rPr>
          <w:rFonts w:ascii="Arial" w:hAnsi="Arial" w:cs="Arial"/>
          <w:sz w:val="22"/>
          <w:szCs w:val="22"/>
        </w:rPr>
        <w:fldChar w:fldCharType="end"/>
      </w:r>
      <w:r w:rsidR="008126D0">
        <w:rPr>
          <w:rFonts w:ascii="Arial" w:hAnsi="Arial" w:cs="Arial"/>
          <w:sz w:val="22"/>
          <w:szCs w:val="22"/>
        </w:rPr>
        <w:t xml:space="preserve"> </w:t>
      </w:r>
      <w:r w:rsidRPr="00DD3983">
        <w:rPr>
          <w:rFonts w:ascii="Arial" w:hAnsi="Arial" w:cs="Arial"/>
          <w:sz w:val="22"/>
          <w:szCs w:val="22"/>
        </w:rPr>
        <w:t>It is still important to note that the continuum of AD is still being investigated and not fully understood, likely forecasting future refinements to exact disease pathway</w:t>
      </w:r>
      <w:r w:rsidR="008126D0">
        <w:rPr>
          <w:rFonts w:ascii="Arial" w:hAnsi="Arial" w:cs="Arial"/>
          <w:sz w:val="22"/>
          <w:szCs w:val="22"/>
        </w:rPr>
        <w:t>.</w:t>
      </w:r>
      <w:r w:rsidRPr="00DD3983">
        <w:rPr>
          <w:rFonts w:ascii="Arial" w:hAnsi="Arial" w:cs="Arial"/>
          <w:sz w:val="22"/>
          <w:szCs w:val="22"/>
        </w:rPr>
        <w:fldChar w:fldCharType="begin"/>
      </w:r>
      <w:r w:rsidR="00025355">
        <w:rPr>
          <w:rFonts w:ascii="Arial" w:hAnsi="Arial" w:cs="Arial"/>
          <w:sz w:val="22"/>
          <w:szCs w:val="22"/>
        </w:rPr>
        <w:instrText xml:space="preserve"> ADDIN ZOTERO_ITEM CSL_CITATION {"citationID":"AyLLexUg","properties":{"formattedCitation":"\\super 7\\nosupersub{}","plainCitation":"7","noteIndex":0},"citationItems":[{"id":589,"uris":["http://zotero.org/groups/5623148/items/6TM6B8IR"],"itemData":{"id":589,"type":"article-journal","container-title":"Nature Reviews Disease Primers","DOI":"10.1038/s41572-021-00269-y","ISSN":"2056-676X","issue":"1","journalAbbreviation":"Nat Rev Dis Primers","language":"en","page":"33","source":"DOI.org (Crossref)","title":"Alzheimer disease","volume":"7","author":[{"family":"Knopman","given":"David S."},{"family":"Amieva","given":"Helene"},{"family":"Petersen","given":"Ronald C."},{"family":"Chételat","given":"Gäel"},{"family":"Holtzman","given":"David M."},{"family":"Hyman","given":"Bradley T."},{"family":"Nixon","given":"Ralph A."},{"family":"Jones","given":"David T."}],"issued":{"date-parts":[["2021",5,13]]}}}],"schema":"https://github.com/citation-style-language/schema/raw/master/csl-citation.json"} </w:instrText>
      </w:r>
      <w:r w:rsidRPr="00DD3983">
        <w:rPr>
          <w:rFonts w:ascii="Arial" w:hAnsi="Arial" w:cs="Arial"/>
          <w:sz w:val="22"/>
          <w:szCs w:val="22"/>
        </w:rPr>
        <w:fldChar w:fldCharType="separate"/>
      </w:r>
      <w:r w:rsidRPr="00025355" w:rsidR="00025355">
        <w:rPr>
          <w:rFonts w:ascii="Arial" w:hAnsi="Arial" w:cs="Arial"/>
          <w:kern w:val="0"/>
          <w:sz w:val="22"/>
          <w:vertAlign w:val="superscript"/>
        </w:rPr>
        <w:t>7</w:t>
      </w:r>
      <w:r w:rsidRPr="00DD3983">
        <w:rPr>
          <w:rFonts w:ascii="Arial" w:hAnsi="Arial" w:cs="Arial"/>
          <w:sz w:val="22"/>
          <w:szCs w:val="22"/>
        </w:rPr>
        <w:fldChar w:fldCharType="end"/>
      </w:r>
    </w:p>
    <w:p w:rsidRPr="00DD3983" w:rsidR="00B525C0" w:rsidP="006618CC" w:rsidRDefault="00B525C0" w14:paraId="08B044CF" w14:textId="64960443">
      <w:pPr>
        <w:jc w:val="both"/>
        <w:rPr>
          <w:rFonts w:ascii="Arial" w:hAnsi="Arial" w:cs="Arial"/>
          <w:sz w:val="22"/>
          <w:szCs w:val="22"/>
        </w:rPr>
      </w:pPr>
      <w:r w:rsidRPr="00DD3983">
        <w:rPr>
          <w:rFonts w:ascii="Arial" w:hAnsi="Arial" w:cs="Arial"/>
          <w:sz w:val="22"/>
          <w:szCs w:val="22"/>
        </w:rPr>
        <w:t>AD diagnosis follows a clinical pathway that integrates multiple assessment modalities</w:t>
      </w:r>
      <w:r w:rsidRPr="00DD3983" w:rsidR="003B1C0D">
        <w:rPr>
          <w:rFonts w:ascii="Arial" w:hAnsi="Arial" w:cs="Arial"/>
          <w:sz w:val="22"/>
          <w:szCs w:val="22"/>
        </w:rPr>
        <w:t xml:space="preserve"> that vary</w:t>
      </w:r>
      <w:r w:rsidRPr="00DD3983">
        <w:rPr>
          <w:rFonts w:ascii="Arial" w:hAnsi="Arial" w:cs="Arial"/>
          <w:sz w:val="22"/>
          <w:szCs w:val="22"/>
        </w:rPr>
        <w:t xml:space="preserve"> across healthcare systems globally</w:t>
      </w:r>
      <w:r w:rsidR="008126D0">
        <w:rPr>
          <w:rFonts w:ascii="Arial" w:hAnsi="Arial" w:cs="Arial"/>
          <w:sz w:val="22"/>
          <w:szCs w:val="22"/>
        </w:rPr>
        <w:t>.</w:t>
      </w:r>
      <w:r w:rsidRPr="00DD3983">
        <w:rPr>
          <w:rFonts w:ascii="Arial" w:hAnsi="Arial" w:cs="Arial"/>
          <w:sz w:val="22"/>
          <w:szCs w:val="22"/>
        </w:rPr>
        <w:fldChar w:fldCharType="begin"/>
      </w:r>
      <w:r w:rsidR="00025355">
        <w:rPr>
          <w:rFonts w:ascii="Arial" w:hAnsi="Arial" w:cs="Arial"/>
          <w:sz w:val="22"/>
          <w:szCs w:val="22"/>
        </w:rPr>
        <w:instrText xml:space="preserve"> ADDIN ZOTERO_ITEM CSL_CITATION {"citationID":"wrjnbUHS","properties":{"formattedCitation":"\\super 7\\nosupersub{}","plainCitation":"7","noteIndex":0},"citationItems":[{"id":589,"uris":["http://zotero.org/groups/5623148/items/6TM6B8IR"],"itemData":{"id":589,"type":"article-journal","container-title":"Nature Reviews Disease Primers","DOI":"10.1038/s41572-021-00269-y","ISSN":"2056-676X","issue":"1","journalAbbreviation":"Nat Rev Dis Primers","language":"en","page":"33","source":"DOI.org (Crossref)","title":"Alzheimer disease","volume":"7","author":[{"family":"Knopman","given":"David S."},{"family":"Amieva","given":"Helene"},{"family":"Petersen","given":"Ronald C."},{"family":"Chételat","given":"Gäel"},{"family":"Holtzman","given":"David M."},{"family":"Hyman","given":"Bradley T."},{"family":"Nixon","given":"Ralph A."},{"family":"Jones","given":"David T."}],"issued":{"date-parts":[["2021",5,13]]}}}],"schema":"https://github.com/citation-style-language/schema/raw/master/csl-citation.json"} </w:instrText>
      </w:r>
      <w:r w:rsidRPr="00DD3983">
        <w:rPr>
          <w:rFonts w:ascii="Arial" w:hAnsi="Arial" w:cs="Arial"/>
          <w:sz w:val="22"/>
          <w:szCs w:val="22"/>
        </w:rPr>
        <w:fldChar w:fldCharType="separate"/>
      </w:r>
      <w:r w:rsidRPr="00025355" w:rsidR="00025355">
        <w:rPr>
          <w:rFonts w:ascii="Arial" w:hAnsi="Arial" w:cs="Arial"/>
          <w:kern w:val="0"/>
          <w:sz w:val="22"/>
          <w:vertAlign w:val="superscript"/>
        </w:rPr>
        <w:t>7</w:t>
      </w:r>
      <w:r w:rsidRPr="00DD3983">
        <w:rPr>
          <w:rFonts w:ascii="Arial" w:hAnsi="Arial" w:cs="Arial"/>
          <w:sz w:val="22"/>
          <w:szCs w:val="22"/>
        </w:rPr>
        <w:fldChar w:fldCharType="end"/>
      </w:r>
      <w:r w:rsidRPr="00DD3983">
        <w:rPr>
          <w:rFonts w:ascii="Arial" w:hAnsi="Arial" w:cs="Arial"/>
          <w:sz w:val="22"/>
          <w:szCs w:val="22"/>
        </w:rPr>
        <w:t xml:space="preserve"> The process typically begins in primary care with a determination of the presence and severity of cognitive impairment, followed by basic cognitive screening and laboratory tests to rule out reversible conditions. Subsequently, referral to specialists (neurologists, geriatricians, </w:t>
      </w:r>
      <w:r w:rsidRPr="00DD3983" w:rsidR="003640C0">
        <w:rPr>
          <w:rFonts w:ascii="Arial" w:hAnsi="Arial" w:cs="Arial"/>
          <w:sz w:val="22"/>
          <w:szCs w:val="22"/>
        </w:rPr>
        <w:t xml:space="preserve">psychiatrists, </w:t>
      </w:r>
      <w:r w:rsidRPr="00DD3983">
        <w:rPr>
          <w:rFonts w:ascii="Arial" w:hAnsi="Arial" w:cs="Arial"/>
          <w:sz w:val="22"/>
          <w:szCs w:val="22"/>
        </w:rPr>
        <w:t>or memory clinics) facilitates comprehensive neuropsychological assessment evaluating multiple cognitive domains and functional impact, aiming to detect either MCI or dementia</w:t>
      </w:r>
      <w:r w:rsidR="008126D0">
        <w:rPr>
          <w:rFonts w:ascii="Arial" w:hAnsi="Arial" w:cs="Arial"/>
          <w:sz w:val="22"/>
          <w:szCs w:val="22"/>
        </w:rPr>
        <w:t>.</w:t>
      </w:r>
      <w:r w:rsidRPr="00DD3983">
        <w:rPr>
          <w:rFonts w:ascii="Arial" w:hAnsi="Arial" w:cs="Arial"/>
          <w:sz w:val="22"/>
          <w:szCs w:val="22"/>
        </w:rPr>
        <w:fldChar w:fldCharType="begin"/>
      </w:r>
      <w:r w:rsidR="00025355">
        <w:rPr>
          <w:rFonts w:ascii="Arial" w:hAnsi="Arial" w:cs="Arial"/>
          <w:sz w:val="22"/>
          <w:szCs w:val="22"/>
        </w:rPr>
        <w:instrText xml:space="preserve"> ADDIN ZOTERO_ITEM CSL_CITATION {"citationID":"NMsVz2mE","properties":{"formattedCitation":"\\super 8\\nosupersub{}","plainCitation":"8","noteIndex":0},"citationItems":[{"id":1973,"uris":["http://zotero.org/users/10927406/items/D7MD6R3Y"],"itemData":{"id":1973,"type":"article-journal","abstract":"US clinical practice guidelines for the diagnostic evaluation of cognitive impairment due to Alzheimer's disease (AD) or a related dementia (ADRD) are two decades old. This evidence-based guideline was developed to empower all clinicians to implement a structured approach for evaluating a patient with symptoms that may represent clinical AD/ADRD. An expert workgroup conducted a review of 7374 publications (133 met inclusion criteria) and developed recommendations as steps in an evaluation process. This summary briefly reviews core recommendations and details specialist recommendations of a high-quality, evidence-supported evaluation process aimed at characterizing, diagnosing, and disclosing the patient's cognitive functional status, cognitive–behavioral syndrome, and likely underlying brain disease so that optimal care plans to maximize patient/care partner dyad quality of life can be developed; a companion article summarizes primary care recommendations. If clinicians use the recommendations in this guideline and health-care systems provide adequate resources, outcomes should improve in most patients in most practice settings. Highlights US clinical practice guidelines for the diagnostic evaluation of cognitive impairment due to Alzheimer's disease (AD) or related dementias (ADRD) are decades old and aimed at specialists. This evidence-based guideline was developed to empower all—including primary care—clinicians to implement a structured approach for evaluating a patient with symptoms that may represent clinical AD/ADRD. This summary focuses on recommendations appropriate for specialty practice settings, forming key elements of a high-quality, evidence-supported evaluation process aimed at characterizing, diagnosing, and disclosing the patient's cognitive functional status, cognitive–behavioral syndrome, and likely underlying brain disease so that optimal care plans to maximize patient/care partner dyad quality of life can be developed; a companion article summarizes primary care recommendations. If clinicians use this guideline and health-care systems provide adequate resources, outcomes should improve in most patients in most practice settings.","container-title":"Alzheimer's &amp; Dementia","DOI":"10.1002/alz.14337","ISSN":"1552-5279","issue":"1","language":"en","license":"© 2024 The Author(s). Alzheimer's &amp; Dementia published by Wiley Periodicals LLC on behalf of Alzheimer's Association.","note":"_eprint: https://onlinelibrary.wiley.com/doi/pdf/10.1002/alz.14337","page":"e14337","source":"Wiley Online Library","title":"The Alzheimer's Association clinical practice guideline for the Diagnostic Evaluation, Testing, Counseling, and Disclosure of Suspected Alzheimer's Disease and Related Disorders (DETeCD-ADRD): Executive summary of recommendations for specialty care","title-short":"The Alzheimer's Association clinical practice guideline for the Diagnostic Evaluation, Testing, Counseling, and Disclosure of Suspected Alzheimer's Disease and Related Disorders (DETeCD-ADRD)","volume":"21","author":[{"family":"Dickerson","given":"Bradford C."},{"family":"Atri","given":"Alireza"},{"family":"Clevenger","given":"Carolyn"},{"family":"Karlawish","given":"Jason"},{"family":"Knopman","given":"David"},{"family":"Lin","given":"Pei-Jung"},{"family":"Norman","given":"Mary"},{"family":"Onyike","given":"Chiadi"},{"family":"Sano","given":"Mary"},{"family":"Scanland","given":"Susan"},{"family":"Carrillo","given":"Maria"}],"issued":{"date-parts":[["2025"]]}}}],"schema":"https://github.com/citation-style-language/schema/raw/master/csl-citation.json"} </w:instrText>
      </w:r>
      <w:r w:rsidRPr="00DD3983">
        <w:rPr>
          <w:rFonts w:ascii="Arial" w:hAnsi="Arial" w:cs="Arial"/>
          <w:sz w:val="22"/>
          <w:szCs w:val="22"/>
        </w:rPr>
        <w:fldChar w:fldCharType="separate"/>
      </w:r>
      <w:r w:rsidRPr="00025355" w:rsidR="00025355">
        <w:rPr>
          <w:rFonts w:ascii="Arial" w:hAnsi="Arial" w:cs="Arial"/>
          <w:kern w:val="0"/>
          <w:sz w:val="22"/>
          <w:vertAlign w:val="superscript"/>
        </w:rPr>
        <w:t>8</w:t>
      </w:r>
      <w:r w:rsidRPr="00DD3983">
        <w:rPr>
          <w:rFonts w:ascii="Arial" w:hAnsi="Arial" w:cs="Arial"/>
          <w:sz w:val="22"/>
          <w:szCs w:val="22"/>
        </w:rPr>
        <w:fldChar w:fldCharType="end"/>
      </w:r>
      <w:r w:rsidR="008126D0">
        <w:rPr>
          <w:rFonts w:ascii="Arial" w:hAnsi="Arial" w:cs="Arial"/>
          <w:sz w:val="22"/>
          <w:szCs w:val="22"/>
        </w:rPr>
        <w:t xml:space="preserve"> </w:t>
      </w:r>
      <w:r w:rsidRPr="00DD3983">
        <w:rPr>
          <w:rFonts w:ascii="Arial" w:hAnsi="Arial" w:cs="Arial"/>
          <w:sz w:val="22"/>
          <w:szCs w:val="22"/>
        </w:rPr>
        <w:t>Following the characterization of cognitive impairment, biomarker testing—including structural neuroimaging (MRI), functional neuroimaging (FDG-PET</w:t>
      </w:r>
      <w:r w:rsidRPr="00DD3983" w:rsidR="00241D1E">
        <w:rPr>
          <w:rFonts w:ascii="Arial" w:hAnsi="Arial" w:cs="Arial"/>
          <w:sz w:val="22"/>
          <w:szCs w:val="22"/>
        </w:rPr>
        <w:t xml:space="preserve"> and</w:t>
      </w:r>
      <w:r w:rsidRPr="00DD3983">
        <w:rPr>
          <w:rFonts w:ascii="Arial" w:hAnsi="Arial" w:cs="Arial"/>
          <w:sz w:val="22"/>
          <w:szCs w:val="22"/>
        </w:rPr>
        <w:t xml:space="preserve"> amyloid PET), cerebrospinal fluid analysis (measuring Aβ42, total tau, and phosphorylated tau), and emerging blood-based biomarkers—are then utilized to help find objective evidence of AD pathology, though utilization and specific diagnostic protocol</w:t>
      </w:r>
      <w:r w:rsidRPr="00DD3983" w:rsidR="00700476">
        <w:rPr>
          <w:rFonts w:ascii="Arial" w:hAnsi="Arial" w:cs="Arial"/>
          <w:sz w:val="22"/>
          <w:szCs w:val="22"/>
        </w:rPr>
        <w:t>s</w:t>
      </w:r>
      <w:r w:rsidRPr="00DD3983">
        <w:rPr>
          <w:rFonts w:ascii="Arial" w:hAnsi="Arial" w:cs="Arial"/>
          <w:sz w:val="22"/>
          <w:szCs w:val="22"/>
        </w:rPr>
        <w:t xml:space="preserve"> still vary significantly between regions</w:t>
      </w:r>
      <w:r w:rsidR="008126D0">
        <w:rPr>
          <w:rFonts w:ascii="Arial" w:hAnsi="Arial" w:cs="Arial"/>
          <w:sz w:val="22"/>
          <w:szCs w:val="22"/>
        </w:rPr>
        <w:t>.</w:t>
      </w:r>
      <w:r w:rsidRPr="00DD3983">
        <w:rPr>
          <w:rFonts w:ascii="Arial" w:hAnsi="Arial" w:cs="Arial"/>
          <w:sz w:val="22"/>
          <w:szCs w:val="22"/>
        </w:rPr>
        <w:fldChar w:fldCharType="begin"/>
      </w:r>
      <w:r w:rsidR="00025355">
        <w:rPr>
          <w:rFonts w:ascii="Arial" w:hAnsi="Arial" w:cs="Arial"/>
          <w:sz w:val="22"/>
          <w:szCs w:val="22"/>
        </w:rPr>
        <w:instrText xml:space="preserve"> ADDIN ZOTERO_ITEM CSL_CITATION {"citationID":"dfDh84Lj","properties":{"formattedCitation":"\\super 9\\nosupersub{}","plainCitation":"9","noteIndex":0},"citationItems":[{"id":1979,"uris":["http://zotero.org/users/10927406/items/BZULB2IW"],"itemData":{"id":1979,"type":"article-journal","abstract":"Background:Diagnostic pathways for patients presenting with cognitive complaints may vary across geographies.Objective:To describe diagnostic pathways of patients presenting with cognitive complaints across 6 countries.Methods:This real-world, cross-sectional study analyzed chart-extracted data from healthcare providers (HCPs) for 6,744 patients across China, France, Germany, Spain, UK, and the US.Results:Most common symptoms at presentation were cognitive (memory/amnestic; 89.86%), followed by physical/behavioral (87.13%). Clinical/cognitive tests were used in &gt; 95%, with Mini-Mental State Examination being the most common cognitive test (79.0%). Blood tests for APOE ɛ4/other mutations, or to rule out treatable causes, were used in half of the patients. Clinical and cognitive tests were used at higher frequency at earlier visits, and amyloid PET/CSF biomarker testing at higher frequency at later visits. The latter were ordered at low rates even by specialists (across countries, 5.7% to 28.7% for amyloid PET and 5.0% to 27.3% for CSF testing). Approximately half the patients received a diagnosis (52.1% of which were Alzheimer’s disease [AD]). Factors that influenced risk of not receiving a diagnosis were HCP type (higher for primary care physicians versus specialists) and region (highest in China and Germany).Conclusion:These data highlight variability in AD diagnostic pathways across countries and provider types. About 45% of patients are referred/told to ‘watch and wait’. Improvements can be made in the use of amyloid PET and CSF testing. Efforts should focus on further defining biomarkers for those at risk for AD, and on dismantling barriers such low testing capacity and reimbursement challenges.","container-title":"Journal of Alzheimer's Disease Reports","DOI":"10.3233/ADR230007","ISSN":"2542-4823","issue":"1","journalAbbreviation":"J Alzheimers Dis Rep","language":"EN","note":"publisher: SAGE Publications","page":"659-674","source":"SAGE Journals","title":"Current Diagnostic Pathways for Alzheimer’s Disease: A Cross-Sectional Real-World Study Across Six Countries","title-short":"Current Diagnostic Pathways for Alzheimer’s Disease","volume":"7","author":[{"family":"Roth","given":"Sophie"},{"family":"Burnie","given":"Nerida"},{"family":"Suridjan","given":"Ivonne"},{"family":"Yan","given":"Jessie T."},{"family":"Carboni","given":"Margherita"}],"issued":{"date-parts":[["2023",11,1]]}}}],"schema":"https://github.com/citation-style-language/schema/raw/master/csl-citation.json"} </w:instrText>
      </w:r>
      <w:r w:rsidRPr="00DD3983">
        <w:rPr>
          <w:rFonts w:ascii="Arial" w:hAnsi="Arial" w:cs="Arial"/>
          <w:sz w:val="22"/>
          <w:szCs w:val="22"/>
        </w:rPr>
        <w:fldChar w:fldCharType="separate"/>
      </w:r>
      <w:r w:rsidRPr="00025355" w:rsidR="00025355">
        <w:rPr>
          <w:rFonts w:ascii="Arial" w:hAnsi="Arial" w:cs="Arial"/>
          <w:kern w:val="0"/>
          <w:sz w:val="22"/>
          <w:vertAlign w:val="superscript"/>
        </w:rPr>
        <w:t>9</w:t>
      </w:r>
      <w:r w:rsidRPr="00DD3983">
        <w:rPr>
          <w:rFonts w:ascii="Arial" w:hAnsi="Arial" w:cs="Arial"/>
          <w:sz w:val="22"/>
          <w:szCs w:val="22"/>
        </w:rPr>
        <w:fldChar w:fldCharType="end"/>
      </w:r>
      <w:r w:rsidRPr="00DD3983">
        <w:rPr>
          <w:rFonts w:ascii="Arial" w:hAnsi="Arial" w:cs="Arial"/>
          <w:sz w:val="22"/>
          <w:szCs w:val="22"/>
        </w:rPr>
        <w:t xml:space="preserve"> This multimodal assessment</w:t>
      </w:r>
      <w:r w:rsidRPr="00DD3983" w:rsidR="00DF3F9C">
        <w:rPr>
          <w:rFonts w:ascii="Arial" w:hAnsi="Arial" w:cs="Arial"/>
          <w:sz w:val="22"/>
          <w:szCs w:val="22"/>
        </w:rPr>
        <w:t xml:space="preserve"> attempts to</w:t>
      </w:r>
      <w:r w:rsidRPr="00DD3983">
        <w:rPr>
          <w:rFonts w:ascii="Arial" w:hAnsi="Arial" w:cs="Arial"/>
          <w:sz w:val="22"/>
          <w:szCs w:val="22"/>
        </w:rPr>
        <w:t xml:space="preserve"> classif</w:t>
      </w:r>
      <w:r w:rsidRPr="00DD3983" w:rsidR="00DF3F9C">
        <w:rPr>
          <w:rFonts w:ascii="Arial" w:hAnsi="Arial" w:cs="Arial"/>
          <w:sz w:val="22"/>
          <w:szCs w:val="22"/>
        </w:rPr>
        <w:t>y patients</w:t>
      </w:r>
      <w:r w:rsidRPr="00DD3983">
        <w:rPr>
          <w:rFonts w:ascii="Arial" w:hAnsi="Arial" w:cs="Arial"/>
          <w:sz w:val="22"/>
          <w:szCs w:val="22"/>
        </w:rPr>
        <w:t xml:space="preserve"> along the AD continuum from subjective cognitive decline through </w:t>
      </w:r>
      <w:r w:rsidR="00891BAA">
        <w:rPr>
          <w:rFonts w:ascii="Arial" w:hAnsi="Arial" w:cs="Arial"/>
          <w:sz w:val="22"/>
          <w:szCs w:val="22"/>
        </w:rPr>
        <w:t>MCI</w:t>
      </w:r>
      <w:r w:rsidRPr="00DD3983">
        <w:rPr>
          <w:rFonts w:ascii="Arial" w:hAnsi="Arial" w:cs="Arial"/>
          <w:sz w:val="22"/>
          <w:szCs w:val="22"/>
        </w:rPr>
        <w:t xml:space="preserve"> to dementia due to AD. </w:t>
      </w:r>
      <w:r w:rsidRPr="00DD3983" w:rsidR="00662A57">
        <w:rPr>
          <w:rFonts w:ascii="Arial" w:hAnsi="Arial" w:cs="Arial"/>
          <w:sz w:val="22"/>
          <w:szCs w:val="22"/>
        </w:rPr>
        <w:t>General</w:t>
      </w:r>
      <w:r w:rsidRPr="00DD3983">
        <w:rPr>
          <w:rFonts w:ascii="Arial" w:hAnsi="Arial" w:cs="Arial"/>
          <w:sz w:val="22"/>
          <w:szCs w:val="22"/>
        </w:rPr>
        <w:t xml:space="preserve"> </w:t>
      </w:r>
      <w:r w:rsidRPr="00DD3983" w:rsidR="0012237A">
        <w:rPr>
          <w:rFonts w:ascii="Arial" w:hAnsi="Arial" w:cs="Arial"/>
          <w:sz w:val="22"/>
          <w:szCs w:val="22"/>
        </w:rPr>
        <w:t xml:space="preserve">population </w:t>
      </w:r>
      <w:r w:rsidRPr="00DD3983">
        <w:rPr>
          <w:rFonts w:ascii="Arial" w:hAnsi="Arial" w:cs="Arial"/>
          <w:sz w:val="22"/>
          <w:szCs w:val="22"/>
        </w:rPr>
        <w:t>screening is</w:t>
      </w:r>
      <w:r w:rsidRPr="00DD3983" w:rsidR="00706B37">
        <w:rPr>
          <w:rFonts w:ascii="Arial" w:hAnsi="Arial" w:cs="Arial"/>
          <w:sz w:val="22"/>
          <w:szCs w:val="22"/>
        </w:rPr>
        <w:t xml:space="preserve"> still</w:t>
      </w:r>
      <w:r w:rsidRPr="00DD3983">
        <w:rPr>
          <w:rFonts w:ascii="Arial" w:hAnsi="Arial" w:cs="Arial"/>
          <w:sz w:val="22"/>
          <w:szCs w:val="22"/>
        </w:rPr>
        <w:t xml:space="preserve"> not currently recommended </w:t>
      </w:r>
      <w:r w:rsidRPr="00DD3983" w:rsidR="001B2DCF">
        <w:rPr>
          <w:rFonts w:ascii="Arial" w:hAnsi="Arial" w:cs="Arial"/>
          <w:sz w:val="22"/>
          <w:szCs w:val="22"/>
        </w:rPr>
        <w:t xml:space="preserve">or practiced </w:t>
      </w:r>
      <w:r w:rsidRPr="00DD3983">
        <w:rPr>
          <w:rFonts w:ascii="Arial" w:hAnsi="Arial" w:cs="Arial"/>
          <w:sz w:val="22"/>
          <w:szCs w:val="22"/>
        </w:rPr>
        <w:t>for asymptomatic individuals without risk factors, though targeted screening may be appropriate for high-risk populations</w:t>
      </w:r>
      <w:r w:rsidRPr="00DD3983" w:rsidR="00DC7F51">
        <w:rPr>
          <w:rFonts w:ascii="Arial" w:hAnsi="Arial" w:cs="Arial"/>
          <w:sz w:val="22"/>
          <w:szCs w:val="22"/>
        </w:rPr>
        <w:t xml:space="preserve"> and is an ongoing </w:t>
      </w:r>
      <w:r w:rsidRPr="00DD3983" w:rsidR="001E626C">
        <w:rPr>
          <w:rFonts w:ascii="Arial" w:hAnsi="Arial" w:cs="Arial"/>
          <w:sz w:val="22"/>
          <w:szCs w:val="22"/>
        </w:rPr>
        <w:t>area of research</w:t>
      </w:r>
      <w:r w:rsidR="008126D0">
        <w:rPr>
          <w:rFonts w:ascii="Arial" w:hAnsi="Arial" w:cs="Arial"/>
          <w:sz w:val="22"/>
          <w:szCs w:val="22"/>
        </w:rPr>
        <w:t>.</w:t>
      </w:r>
      <w:r w:rsidRPr="00DD3983">
        <w:rPr>
          <w:rFonts w:ascii="Arial" w:hAnsi="Arial" w:cs="Arial"/>
          <w:sz w:val="22"/>
          <w:szCs w:val="22"/>
        </w:rPr>
        <w:fldChar w:fldCharType="begin"/>
      </w:r>
      <w:r w:rsidR="00025355">
        <w:rPr>
          <w:rFonts w:ascii="Arial" w:hAnsi="Arial" w:cs="Arial"/>
          <w:sz w:val="22"/>
          <w:szCs w:val="22"/>
        </w:rPr>
        <w:instrText xml:space="preserve"> ADDIN ZOTERO_ITEM CSL_CITATION {"citationID":"qLkxct3x","properties":{"formattedCitation":"\\super 10,11\\nosupersub{}","plainCitation":"10,11","noteIndex":0},"citationItems":[{"id":1977,"uris":["http://zotero.org/users/10927406/items/J7I6EGV2"],"itemData":{"id":1977,"type":"article-journal","abstract":"Background/Objective:\nThe benefits and harms of screening of Alzheimer’ disease and related dementias (ADRD) are unknown. This study addressed the question of whether the benefits outweigh the harms of screening for ADRD among older adults in primary care.\n\nDesign, setting and participants:\nSingle-blinded, 2-arm, randomized controlled trial (October 2012-September 2016) in urban, suburban, and rural primary care settings in Indiana. 4,005 primary care patients (≥65 years) were randomized to ADRD screening (n=2,008) or control (n=1,997).\n\nIntervention:\nPatients were screened using the Memory Impairment Screen or the Mini-Cog™ and referred for a voluntary follow-up diagnostic assessment if they screened positive on either or both screening tests.\n\nMeasurements:\nPrimary measures were health-related quality of life (Health Utilities Index (HUI)) at 12 months, depressive symptoms (Patient Health Questionnaire-9 (PHQ-9)), and anxiety symptoms (Generalized Anxiety Disorder 7-item scale (GAD-7)) at 1 month.\n\nResults:\nThe mean age was 74.2 years (standard deviation 6.9); 2,257 (66%) were female and 2,301 (67%) were white. At 12 months, we were unable to detect differences in health-related quality of life between the groups (effect Size (ES)= 0.009 [95% CI=−0.063, 0.080], p=0.81). At one month, differences in mean depressive symptoms (mean difference=−0.23 [90% CI= −0.42,−0.039]) and anxiety symptoms (mean difference=−0.087 [90% CI=−0.246, 0.072]) were within pre-specified equivalency range. Scores for depressive and anxiety symptoms were similar between the groups at all time points. No differences in healthcare utilization, advance care planning, and ADRD recognition by physicians were detected at 12 months.\n\nConclusion:\nWe were unable to detect a difference in health-related quality of life for screening for ADRD among older adults. We found no harm from screening measured by symptoms of depression or anxiety. Missing data, low rates of dementia detection, and high rate of refusal for follow-up diagnostic assessments after a positive screen may explain these findings.\n\nTrial Registration:\nClinicalTrials.gov Identifier NCT01699503","container-title":"Journal of the American Geriatrics Society","DOI":"10.1111/jgs.16247","ISSN":"0002-8614","issue":"3","journalAbbreviation":"J Am Geriatr Soc","note":"PMID: 31792940\nPMCID: PMC7187902","page":"535-543","source":"PubMed Central","title":"Risks and benefits of screening for dementia in primary care: the IU CHOICE trial","title-short":"Risks and benefits of screening for dementia in primary care","volume":"68","author":[{"family":"Fowler","given":"Nicole R."},{"family":"Perkins","given":"Anthony J."},{"family":"Gao","given":"Sujuan"},{"family":"Sachs","given":"Greg A."},{"family":"Boustani","given":"Malaz A."}],"issued":{"date-parts":[["2020",3]]}}},{"id":1976,"uris":["http://zotero.org/users/10927406/items/PP4RMC87"],"itemData":{"id":1976,"type":"article-journal","container-title":"The Lancet","DOI":"10.1016/S0140-6736(24)01296-0","ISSN":"0140-6736, 1474-547X","issue":"10452","journalAbbreviation":"The Lancet","language":"English","note":"publisher: Elsevier\nPMID: 39096926","page":"572-628","source":"www.thelancet.com","title":"Dementia prevention, intervention, and care: 2024 report of the Lancet standing Commission","title-short":"Dementia prevention, intervention, and care","volume":"404","author":[{"family":"Livingston","given":"Gill"},{"family":"Huntley","given":"Jonathan"},{"family":"Liu","given":"Kathy Y."},{"family":"Costafreda","given":"Sergi G."},{"family":"Selbæk","given":"Geir"},{"family":"Alladi","given":"Suvarna"},{"family":"Ames","given":"David"},{"family":"Banerjee","given":"Sube"},{"family":"Burns","given":"Alistair"},{"family":"Brayne","given":"Carol"},{"family":"Fox","given":"Nick C."},{"family":"Ferri","given":"Cleusa P."},{"family":"Gitlin","given":"Laura N."},{"family":"Howard","given":"Robert"},{"family":"Kales","given":"Helen C."},{"family":"Kivimäki","given":"Mika"},{"family":"Larson","given":"Eric B."},{"family":"Nakasujja","given":"Noeline"},{"family":"Rockwood","given":"Kenneth"},{"family":"Samus","given":"Quincy"},{"family":"Shirai","given":"Kokoro"},{"family":"Singh-Manoux","given":"Archana"},{"family":"Schneider","given":"Lon S."},{"family":"Walsh","given":"Sebastian"},{"family":"Yao","given":"Yao"},{"family":"Sommerlad","given":"Andrew"},{"family":"Mukadam","given":"Naaheed"}],"issued":{"date-parts":[["2024",8,10]]}}}],"schema":"https://github.com/citation-style-language/schema/raw/master/csl-citation.json"} </w:instrText>
      </w:r>
      <w:r w:rsidRPr="00DD3983">
        <w:rPr>
          <w:rFonts w:ascii="Arial" w:hAnsi="Arial" w:cs="Arial"/>
          <w:sz w:val="22"/>
          <w:szCs w:val="22"/>
        </w:rPr>
        <w:fldChar w:fldCharType="separate"/>
      </w:r>
      <w:r w:rsidRPr="00025355" w:rsidR="00025355">
        <w:rPr>
          <w:rFonts w:ascii="Arial" w:hAnsi="Arial" w:cs="Arial"/>
          <w:kern w:val="0"/>
          <w:sz w:val="22"/>
          <w:vertAlign w:val="superscript"/>
        </w:rPr>
        <w:t>10,11</w:t>
      </w:r>
      <w:r w:rsidRPr="00DD3983">
        <w:rPr>
          <w:rFonts w:ascii="Arial" w:hAnsi="Arial" w:cs="Arial"/>
          <w:sz w:val="22"/>
          <w:szCs w:val="22"/>
        </w:rPr>
        <w:fldChar w:fldCharType="end"/>
      </w:r>
      <w:r w:rsidRPr="00DD3983">
        <w:rPr>
          <w:rFonts w:ascii="Arial" w:hAnsi="Arial" w:cs="Arial"/>
          <w:sz w:val="22"/>
          <w:szCs w:val="22"/>
        </w:rPr>
        <w:t xml:space="preserve"> Regional variations exist, with European countries generally employing more standardized diagnostic pathways and earlier CSF biomarker adoption, while North American approaches emphasize clinical assessment with more selective biomarker confirmation</w:t>
      </w:r>
      <w:r w:rsidR="008126D0">
        <w:rPr>
          <w:rFonts w:ascii="Arial" w:hAnsi="Arial" w:cs="Arial"/>
          <w:sz w:val="22"/>
          <w:szCs w:val="22"/>
        </w:rPr>
        <w:t>.</w:t>
      </w:r>
      <w:r w:rsidRPr="00DD3983">
        <w:rPr>
          <w:rFonts w:ascii="Arial" w:hAnsi="Arial" w:cs="Arial"/>
          <w:sz w:val="22"/>
          <w:szCs w:val="22"/>
        </w:rPr>
        <w:fldChar w:fldCharType="begin"/>
      </w:r>
      <w:r w:rsidR="00025355">
        <w:rPr>
          <w:rFonts w:ascii="Arial" w:hAnsi="Arial" w:cs="Arial"/>
          <w:sz w:val="22"/>
          <w:szCs w:val="22"/>
        </w:rPr>
        <w:instrText xml:space="preserve"> ADDIN ZOTERO_ITEM CSL_CITATION {"citationID":"M5Xfq5GD","properties":{"formattedCitation":"\\super 12\\nosupersub{}","plainCitation":"12","noteIndex":0},"citationItems":[{"id":1980,"uris":["http://zotero.org/users/10927406/items/7XREWR59"],"itemData":{"id":1980,"type":"article-journal","container-title":"The Lancet Neurology","DOI":"10.1016/S1474-4422(23)00447-7","ISSN":"1474-4422, 1474-4465","issue":"3","journalAbbreviation":"The Lancet Neurology","language":"English","note":"publisher: Elsevier\nPMID: 38365381","page":"302-312","source":"www.thelancet.com","title":"European intersocietal recommendations for the biomarker-based diagnosis of neurocognitive disorders","volume":"23","author":[{"family":"Frisoni","given":"Giovanni B."},{"family":"Festari","given":"Cristina"},{"family":"Massa","given":"Federico"},{"family":"Ramusino","given":"Matteo Cotta"},{"family":"Orini","given":"Stefania"},{"family":"Aarsland","given":"Dag"},{"family":"Agosta","given":"Federica"},{"family":"Babiloni","given":"Claudio"},{"family":"Borroni","given":"Barbara"},{"family":"Cappa","given":"Stefano F."},{"family":"Frederiksen","given":"Kristian S."},{"family":"Froelich","given":"Lutz"},{"family":"Garibotto","given":"Valentina"},{"family":"Haliassos","given":"Alexander"},{"family":"Jessen","given":"Frank"},{"family":"Kamondi","given":"Anita"},{"family":"Kessels","given":"Roy PC"},{"family":"Morbelli","given":"Silvia D."},{"family":"O'Brien","given":"John T."},{"family":"Otto","given":"Markus"},{"family":"Perret-Liaudet","given":"Armand"},{"family":"Pizzini","given":"Francesca B."},{"family":"Vandenbulcke","given":"Mathieu"},{"family":"Vanninen","given":"Ritva"},{"family":"Verhey","given":"Frans"},{"family":"Vernooij","given":"Meike W."},{"family":"Yousry","given":"Tarek"},{"family":"Rovira","given":"Mercè Boada"},{"family":"Dubois","given":"Bruno"},{"family":"Georges","given":"Jean"},{"family":"Hansson","given":"Oskar"},{"family":"Ritchie","given":"Craig W."},{"family":"Scheltens","given":"Philip"},{"family":"Flier","given":"Wiesje M.","dropping-particle":"van der"},{"family":"Nobili","given":"Flavio"}],"issued":{"date-parts":[["2024",3,1]]}}}],"schema":"https://github.com/citation-style-language/schema/raw/master/csl-citation.json"} </w:instrText>
      </w:r>
      <w:r w:rsidRPr="00DD3983">
        <w:rPr>
          <w:rFonts w:ascii="Arial" w:hAnsi="Arial" w:cs="Arial"/>
          <w:sz w:val="22"/>
          <w:szCs w:val="22"/>
        </w:rPr>
        <w:fldChar w:fldCharType="separate"/>
      </w:r>
      <w:r w:rsidRPr="00025355" w:rsidR="00025355">
        <w:rPr>
          <w:rFonts w:ascii="Arial" w:hAnsi="Arial" w:cs="Arial"/>
          <w:kern w:val="0"/>
          <w:sz w:val="22"/>
          <w:vertAlign w:val="superscript"/>
        </w:rPr>
        <w:t>12</w:t>
      </w:r>
      <w:r w:rsidRPr="00DD3983">
        <w:rPr>
          <w:rFonts w:ascii="Arial" w:hAnsi="Arial" w:cs="Arial"/>
          <w:sz w:val="22"/>
          <w:szCs w:val="22"/>
        </w:rPr>
        <w:fldChar w:fldCharType="end"/>
      </w:r>
      <w:r w:rsidRPr="00DD3983">
        <w:rPr>
          <w:rFonts w:ascii="Arial" w:hAnsi="Arial" w:cs="Arial"/>
          <w:sz w:val="22"/>
          <w:szCs w:val="22"/>
        </w:rPr>
        <w:t xml:space="preserve"> </w:t>
      </w:r>
      <w:r w:rsidRPr="00DD3983" w:rsidR="00B37619">
        <w:rPr>
          <w:rFonts w:ascii="Arial" w:hAnsi="Arial" w:cs="Arial"/>
          <w:sz w:val="22"/>
          <w:szCs w:val="22"/>
        </w:rPr>
        <w:t>Despite the extensive diagnostic process, research shows significant underdiagnosis of dementia remains a substantial challenge.</w:t>
      </w:r>
      <w:r w:rsidRPr="00DD3983" w:rsidR="001E626C">
        <w:rPr>
          <w:rFonts w:ascii="Arial" w:hAnsi="Arial" w:cs="Arial"/>
          <w:sz w:val="22"/>
          <w:szCs w:val="22"/>
        </w:rPr>
        <w:t xml:space="preserve"> O</w:t>
      </w:r>
      <w:r w:rsidRPr="00DD3983" w:rsidR="00B37619">
        <w:rPr>
          <w:rFonts w:ascii="Arial" w:hAnsi="Arial" w:cs="Arial"/>
          <w:sz w:val="22"/>
          <w:szCs w:val="22"/>
        </w:rPr>
        <w:t xml:space="preserve">nly about 54% of older adults with incident dementia received a timely diagnosis in healthcare settings (within 3 years before or 1 year after dementia onset). </w:t>
      </w:r>
      <w:r w:rsidRPr="00DD3983" w:rsidR="00ED09FB">
        <w:rPr>
          <w:rFonts w:ascii="Arial" w:hAnsi="Arial" w:cs="Arial"/>
          <w:sz w:val="22"/>
          <w:szCs w:val="22"/>
        </w:rPr>
        <w:t>This diagnostic delay affects approximately 46% of dementia cases, with many never receiving a formal diagnosis during their lifetime, potentially missing critical windows for intervention and support</w:t>
      </w:r>
      <w:r w:rsidR="008126D0">
        <w:rPr>
          <w:rFonts w:ascii="Arial" w:hAnsi="Arial" w:cs="Arial"/>
          <w:sz w:val="22"/>
          <w:szCs w:val="22"/>
        </w:rPr>
        <w:t>.</w:t>
      </w:r>
      <w:r w:rsidRPr="00DD3983" w:rsidR="002D56C3">
        <w:rPr>
          <w:rFonts w:ascii="Arial" w:hAnsi="Arial" w:cs="Arial"/>
          <w:sz w:val="22"/>
          <w:szCs w:val="22"/>
        </w:rPr>
        <w:fldChar w:fldCharType="begin"/>
      </w:r>
      <w:r w:rsidR="00025355">
        <w:rPr>
          <w:rFonts w:ascii="Arial" w:hAnsi="Arial" w:cs="Arial"/>
          <w:sz w:val="22"/>
          <w:szCs w:val="22"/>
        </w:rPr>
        <w:instrText xml:space="preserve"> ADDIN ZOTERO_ITEM CSL_CITATION {"citationID":"frxivTGD","properties":{"formattedCitation":"\\super 13\\nosupersub{}","plainCitation":"13","noteIndex":0},"citationItems":[{"id":1971,"uris":["http://zotero.org/users/10927406/items/J55S92C5"],"itemData":{"id":1971,"type":"article-journal","abstract":"INTRODUCTION There is limited evidence about factors related to the timeliness of dementia diagnosis in healthcare settings. METHODS In five prospective cohorts at Rush Alzheimer's Disease Center, we identified participants with incident dementia based on annual assessments and examined the timing of healthcare diagnoses in Medicare claims. We assessed sociodemographic, health, and psychosocial correlates of timely diagnosis. RESULTS Of 710 participants, 385 (or 54%) received a timely claims diagnosis within 3 years prior to or 1 year following dementia onset. In logistic regressions accounting for demographics, we found Black participants (odds ratio [OR] = 2.15, 95% confidence interval [CI]: 1.21 to 3.82) and those with better cognition at dementia onset (OR = 1.48, 95% CI: 1.10 to 1.98) were at higher odds of experiencing a diagnostic delay, whereas participants with higher income (OR = 0.89, 95% CI: 0.81 to 0.97) and more comorbidities (OR = 0.94, 95% CI: 0.89 to 0.98) had lower odds. DISCUSSION We identified characteristics of individuals who may miss the optimal window for dementia treatment and support. Highlights We compared the timing of healthcare diagnosis relative to the timing of incident dementia based on rigorous annual evaluation. Older Black adults with lower income, higher cognitive function, and fewer comorbidities were less likely to be diagnosed in a timely manner by the healthcare system.","container-title":"Alzheimer's &amp; Dementia","DOI":"10.1002/alz.14067","ISSN":"1552-5279","issue":"8","language":"en","license":"© 2024 The Author(s). Alzheimer's &amp; Dementia published by Wiley Periodicals LLC on behalf of Alzheimer's Association.","note":"_eprint: https://onlinelibrary.wiley.com/doi/pdf/10.1002/alz.14067","page":"5551-5560","source":"Wiley Online Library","title":"Correlates of missed or late versus timely diagnosis of dementia in healthcare settings","volume":"20","author":[{"family":"Chen","given":"Yi"},{"family":"Power","given":"Melinda C."},{"family":"Grodstein","given":"Francine"},{"family":"Capuano","given":"Ana W."},{"family":"Lange-Maia","given":"Brittney S."},{"family":"Moghtaderi","given":"Ali"},{"family":"Stapp","given":"Emma K."},{"family":"Bhattacharyya","given":"Joya"},{"family":"Shah","given":"Raj C."},{"family":"Barnes","given":"Lisa L."},{"family":"Marquez","given":"David X."},{"family":"Bennett","given":"David A."},{"family":"James","given":"Bryan D."}],"issued":{"date-parts":[["2024"]]}}}],"schema":"https://github.com/citation-style-language/schema/raw/master/csl-citation.json"} </w:instrText>
      </w:r>
      <w:r w:rsidRPr="00DD3983" w:rsidR="002D56C3">
        <w:rPr>
          <w:rFonts w:ascii="Arial" w:hAnsi="Arial" w:cs="Arial"/>
          <w:sz w:val="22"/>
          <w:szCs w:val="22"/>
        </w:rPr>
        <w:fldChar w:fldCharType="separate"/>
      </w:r>
      <w:r w:rsidRPr="00025355" w:rsidR="00025355">
        <w:rPr>
          <w:rFonts w:ascii="Arial" w:hAnsi="Arial" w:cs="Arial"/>
          <w:kern w:val="0"/>
          <w:sz w:val="22"/>
          <w:vertAlign w:val="superscript"/>
        </w:rPr>
        <w:t>13</w:t>
      </w:r>
      <w:r w:rsidRPr="00DD3983" w:rsidR="002D56C3">
        <w:rPr>
          <w:rFonts w:ascii="Arial" w:hAnsi="Arial" w:cs="Arial"/>
          <w:sz w:val="22"/>
          <w:szCs w:val="22"/>
        </w:rPr>
        <w:fldChar w:fldCharType="end"/>
      </w:r>
    </w:p>
    <w:p w:rsidRPr="00404812" w:rsidR="00CF5B0A" w:rsidP="006618CC" w:rsidRDefault="00B525C0" w14:paraId="38488BD5" w14:textId="05E118C6">
      <w:pPr>
        <w:jc w:val="both"/>
        <w:rPr>
          <w:rFonts w:ascii="Arial" w:hAnsi="Arial" w:cs="Arial"/>
          <w:color w:val="000000" w:themeColor="text1"/>
          <w:sz w:val="22"/>
          <w:szCs w:val="22"/>
        </w:rPr>
      </w:pPr>
      <w:r w:rsidRPr="00DD3983">
        <w:rPr>
          <w:rFonts w:ascii="Arial" w:hAnsi="Arial" w:cs="Arial"/>
          <w:sz w:val="22"/>
          <w:szCs w:val="22"/>
        </w:rPr>
        <w:t>Currently dementia has a staggering global impact affecting more than 55 million people worldwide</w:t>
      </w:r>
      <w:r w:rsidR="008126D0">
        <w:rPr>
          <w:rFonts w:ascii="Arial" w:hAnsi="Arial" w:cs="Arial"/>
          <w:sz w:val="22"/>
          <w:szCs w:val="22"/>
        </w:rPr>
        <w:t>.</w:t>
      </w:r>
      <w:r w:rsidRPr="00DD3983" w:rsidR="0048624C">
        <w:rPr>
          <w:rFonts w:ascii="Arial" w:hAnsi="Arial" w:cs="Arial"/>
          <w:sz w:val="22"/>
          <w:szCs w:val="22"/>
        </w:rPr>
        <w:fldChar w:fldCharType="begin"/>
      </w:r>
      <w:r w:rsidR="00025355">
        <w:rPr>
          <w:rFonts w:ascii="Arial" w:hAnsi="Arial" w:cs="Arial"/>
          <w:sz w:val="22"/>
          <w:szCs w:val="22"/>
        </w:rPr>
        <w:instrText xml:space="preserve"> ADDIN ZOTERO_ITEM CSL_CITATION {"citationID":"0eCWAdgb","properties":{"formattedCitation":"\\super 14\\nosupersub{}","plainCitation":"14","noteIndex":0},"citationItems":[{"id":"7XVybpWP/oscF2593","uris":["http://zotero.org/users/14808070/items/GQS7CEVW"],"itemData":{"id":1089,"type":"webpage","abstract":"WHO fact sheet on dementia providing key facts and information on signs and symptoms, rates, risk factors, social and economic impacts, human rights, WHO response.","language":"en","title":"World Health Organization [WHO]","URL":"https://www.who.int/news-room/fact-sheets/detail/dementia","author":[{"family":"World Health Organization","given":""}],"accessed":{"date-parts":[["2025",3,24]]},"issued":{"date-parts":[["2023"]]}}}],"schema":"https://github.com/citation-style-language/schema/raw/master/csl-citation.json"} </w:instrText>
      </w:r>
      <w:r w:rsidRPr="00DD3983" w:rsidR="0048624C">
        <w:rPr>
          <w:rFonts w:ascii="Arial" w:hAnsi="Arial" w:cs="Arial"/>
          <w:sz w:val="22"/>
          <w:szCs w:val="22"/>
        </w:rPr>
        <w:fldChar w:fldCharType="separate"/>
      </w:r>
      <w:r w:rsidRPr="00025355" w:rsidR="00025355">
        <w:rPr>
          <w:rFonts w:ascii="Arial" w:hAnsi="Arial" w:cs="Arial"/>
          <w:kern w:val="0"/>
          <w:sz w:val="22"/>
          <w:vertAlign w:val="superscript"/>
        </w:rPr>
        <w:t>14</w:t>
      </w:r>
      <w:r w:rsidRPr="00DD3983" w:rsidR="0048624C">
        <w:rPr>
          <w:rFonts w:ascii="Arial" w:hAnsi="Arial" w:cs="Arial"/>
          <w:sz w:val="22"/>
          <w:szCs w:val="22"/>
        </w:rPr>
        <w:fldChar w:fldCharType="end"/>
      </w:r>
      <w:r w:rsidRPr="00DD3983" w:rsidR="00486F18">
        <w:rPr>
          <w:rFonts w:ascii="Arial" w:hAnsi="Arial" w:cs="Arial"/>
          <w:sz w:val="22"/>
          <w:szCs w:val="22"/>
        </w:rPr>
        <w:t xml:space="preserve"> With</w:t>
      </w:r>
      <w:r w:rsidRPr="00DD3983" w:rsidR="00B114A0">
        <w:rPr>
          <w:rFonts w:ascii="Arial" w:hAnsi="Arial" w:cs="Arial"/>
          <w:sz w:val="22"/>
          <w:szCs w:val="22"/>
        </w:rPr>
        <w:t xml:space="preserve"> AD caused dementia accounting for over two thirds of all </w:t>
      </w:r>
      <w:r w:rsidRPr="00DD3983" w:rsidR="00E61126">
        <w:rPr>
          <w:rFonts w:ascii="Arial" w:hAnsi="Arial" w:cs="Arial"/>
          <w:sz w:val="22"/>
          <w:szCs w:val="22"/>
        </w:rPr>
        <w:t>dementia cases</w:t>
      </w:r>
      <w:r w:rsidR="008126D0">
        <w:rPr>
          <w:rFonts w:ascii="Arial" w:hAnsi="Arial" w:cs="Arial"/>
          <w:sz w:val="22"/>
          <w:szCs w:val="22"/>
        </w:rPr>
        <w:t>.</w:t>
      </w:r>
      <w:r w:rsidRPr="00DD3983" w:rsidR="00E61126">
        <w:rPr>
          <w:rFonts w:ascii="Arial" w:hAnsi="Arial" w:cs="Arial"/>
          <w:sz w:val="22"/>
          <w:szCs w:val="22"/>
        </w:rPr>
        <w:fldChar w:fldCharType="begin"/>
      </w:r>
      <w:r w:rsidR="00025355">
        <w:rPr>
          <w:rFonts w:ascii="Arial" w:hAnsi="Arial" w:cs="Arial"/>
          <w:sz w:val="22"/>
          <w:szCs w:val="22"/>
        </w:rPr>
        <w:instrText xml:space="preserve"> ADDIN ZOTERO_ITEM CSL_CITATION {"citationID":"ai0bWQ9X","properties":{"formattedCitation":"\\super 6\\nosupersub{}","plainCitation":"6","noteIndex":0},"citationItems":[{"id":1981,"uris":["http://zotero.org/users/10927406/items/EEDT8GDN"],"itemData":{"id":1981,"type":"chapter","abstract":"Dementia is a general term used to describe a significant decline in cognitive ability that interferes with a person's activities of daily living. Alzheimer disease (AD) is the most prevalent type of dementia, accounting for at least two-thirds of cases in individuals aged 65 and older. AD is a neurodegenerative condition with insidious onset and progressive impairment of behavioral and cognitive functions. These functions include memory, comprehension, language, attention, reasoning, and judgment. While AD does not directly cause death, it substantially raises vulnerability to other complications, which can eventually lead to a person's death.  According to Centers for Disease Control and Prevention (CDC) data, AD is ranked as the seventh leading cause of death in the United States in 2022, while COVID-19 ranked fourth. Before the COVID-19 pandemic, AD was the sixth leading cause of death following stroke.. AD typically manifests after age 65, referred to as late-onset AD (LOAD). However, early-onset AD (EOAD), occurring before 65, is less common and seen in about 5% of AD patients. EOAD often exhibits atypical symptoms, and its diagnosis is usually delayed, leading to a more aggressive disease course.  Significant progress has been made in developing biomarkers for specific and early diagnosis of AD over the past decade. These biomarkers include neuroimaging markers obtained through amyloid and tau PET scans, cerebrospinal fluid (CSF), and plasma markers, such as amyloid, tau, and phospho-tau levels. There is no cure for AD, although there are treatments available that may alleviate and manage some of its symptoms. In recent years, there have been significant advancements in the development of medications that aim to moderate the progression of the disease, particularly with the discovery of new disease biomarkers. The symptoms of AD can vary depending on the stage of the disease. AD is classified into different stages based on the level of cognitive impairment and disability experienced by individuals. These stages include the preclinical or presymptomatic stage, mild cognitive impairment, and dementia stage. The dementia stage is further divided into mild, moderate, and severe stages (see Graph. AD Stages from Preclinical to Severe Disease). This staging system is distinct from the diagnostic criteria outlined in the Diagnostic and Statistical Manual of Mental Disorders, 5th edition (DSM-5) for AD. Episodic short-term memory loss is the initial and most common presenting symptom of typical AD. Individuals may have difficulty retaining new information while still recalling long-term memories. Individuals may experience problem-solving, judgment, executive functioning, and organizational skills impairments following short-term memory loss.  They may struggle with tasks that require multitasking and abstract thinking. In the early stages of the disease, executive functioning impairments can range from subtle to significant. Instrumental activities of daily living such as driving, financial management, cooking, and detailed activity planning are affected relatively early in their dementia. These early signs of cognitive decline are followed by language disorder and impaired visuospatial skills. Neuropsychiatric symptoms like apathy, social withdrawal, disinhibition, agitation, psychosis, and wandering are also common in the moderate to late stages. Difficulty performing learned motor tasks (dyspraxia), olfactory dysfunction, sleep disturbances, and extrapyramidal motor signs like dystonia, akathisia, and Parkinsonian symptoms occur late in the disease. Primitive reflexes, incontinence, and total dependence on caregivers follow this.","call-number":"NBK499922","container-title":"StatPearls","event-place":"Treasure Island (FL)","language":"eng","license":"Copyright © 2025, StatPearls Publishing LLC.","note":"PMID: 29763097","publisher":"StatPearls Publishing","publisher-place":"Treasure Island (FL)","source":"PubMed","title":"Alzheimer Disease","URL":"http://www.ncbi.nlm.nih.gov/books/NBK499922/","author":[{"family":"Kumar","given":"Anil"},{"family":"Sidhu","given":"Jaskirat"},{"family":"Lui","given":"Forshing"},{"family":"Tsao","given":"Jack W."}],"accessed":{"date-parts":[["2025",3,19]]},"issued":{"date-parts":[["2025"]]}}}],"schema":"https://github.com/citation-style-language/schema/raw/master/csl-citation.json"} </w:instrText>
      </w:r>
      <w:r w:rsidRPr="00DD3983" w:rsidR="00E61126">
        <w:rPr>
          <w:rFonts w:ascii="Arial" w:hAnsi="Arial" w:cs="Arial"/>
          <w:sz w:val="22"/>
          <w:szCs w:val="22"/>
        </w:rPr>
        <w:fldChar w:fldCharType="separate"/>
      </w:r>
      <w:r w:rsidRPr="00025355" w:rsidR="00025355">
        <w:rPr>
          <w:rFonts w:ascii="Arial" w:hAnsi="Arial" w:cs="Arial"/>
          <w:kern w:val="0"/>
          <w:sz w:val="22"/>
          <w:vertAlign w:val="superscript"/>
        </w:rPr>
        <w:t>6</w:t>
      </w:r>
      <w:r w:rsidRPr="00DD3983" w:rsidR="00E61126">
        <w:rPr>
          <w:rFonts w:ascii="Arial" w:hAnsi="Arial" w:cs="Arial"/>
          <w:sz w:val="22"/>
          <w:szCs w:val="22"/>
        </w:rPr>
        <w:fldChar w:fldCharType="end"/>
      </w:r>
      <w:r w:rsidRPr="00DD3983" w:rsidR="003D4ABB">
        <w:rPr>
          <w:rFonts w:ascii="Arial" w:hAnsi="Arial" w:cs="Arial"/>
          <w:sz w:val="22"/>
          <w:szCs w:val="22"/>
        </w:rPr>
        <w:t xml:space="preserve"> </w:t>
      </w:r>
      <w:r w:rsidRPr="00DD3983">
        <w:rPr>
          <w:rFonts w:ascii="Arial" w:hAnsi="Arial" w:cs="Arial"/>
          <w:sz w:val="22"/>
          <w:szCs w:val="22"/>
        </w:rPr>
        <w:t xml:space="preserve">In Canada </w:t>
      </w:r>
      <w:r w:rsidRPr="00DD3983" w:rsidR="00A00509">
        <w:rPr>
          <w:rFonts w:ascii="Arial" w:hAnsi="Arial" w:cs="Arial"/>
          <w:sz w:val="22"/>
          <w:szCs w:val="22"/>
        </w:rPr>
        <w:t>the projected increase is drastic as</w:t>
      </w:r>
      <w:r w:rsidRPr="00DD3983">
        <w:rPr>
          <w:rFonts w:ascii="Arial" w:hAnsi="Arial" w:cs="Arial"/>
          <w:sz w:val="22"/>
          <w:szCs w:val="22"/>
        </w:rPr>
        <w:t xml:space="preserve"> approximately 368,200 currently live with AD caused dementia</w:t>
      </w:r>
      <w:r w:rsidRPr="00DD3983" w:rsidR="00EC10B7">
        <w:rPr>
          <w:rFonts w:ascii="Arial" w:hAnsi="Arial" w:cs="Arial"/>
          <w:sz w:val="22"/>
          <w:szCs w:val="22"/>
        </w:rPr>
        <w:t xml:space="preserve"> and</w:t>
      </w:r>
      <w:r w:rsidRPr="00DD3983">
        <w:rPr>
          <w:rFonts w:ascii="Arial" w:hAnsi="Arial" w:cs="Arial"/>
          <w:sz w:val="22"/>
          <w:szCs w:val="22"/>
        </w:rPr>
        <w:t xml:space="preserve"> this number </w:t>
      </w:r>
      <w:r w:rsidRPr="00DD3983" w:rsidR="00EC10B7">
        <w:rPr>
          <w:rFonts w:ascii="Arial" w:hAnsi="Arial" w:cs="Arial"/>
          <w:sz w:val="22"/>
          <w:szCs w:val="22"/>
        </w:rPr>
        <w:t>is</w:t>
      </w:r>
      <w:r w:rsidRPr="00DD3983">
        <w:rPr>
          <w:rFonts w:ascii="Arial" w:hAnsi="Arial" w:cs="Arial"/>
          <w:sz w:val="22"/>
          <w:szCs w:val="22"/>
        </w:rPr>
        <w:t xml:space="preserve"> expected to surge 203% to over 1 million Canadians by 2050</w:t>
      </w:r>
      <w:r w:rsidR="008126D0">
        <w:rPr>
          <w:rFonts w:ascii="Arial" w:hAnsi="Arial" w:cs="Arial"/>
          <w:sz w:val="22"/>
          <w:szCs w:val="22"/>
        </w:rPr>
        <w:t>.</w:t>
      </w:r>
      <w:r w:rsidRPr="00DD3983" w:rsidR="00AC7AFC">
        <w:rPr>
          <w:rFonts w:ascii="Arial" w:hAnsi="Arial" w:cs="Arial"/>
          <w:sz w:val="22"/>
          <w:szCs w:val="22"/>
        </w:rPr>
        <w:fldChar w:fldCharType="begin"/>
      </w:r>
      <w:r w:rsidR="00025355">
        <w:rPr>
          <w:rFonts w:ascii="Arial" w:hAnsi="Arial" w:cs="Arial"/>
          <w:sz w:val="22"/>
          <w:szCs w:val="22"/>
        </w:rPr>
        <w:instrText xml:space="preserve"> ADDIN ZOTERO_ITEM CSL_CITATION {"citationID":"egMGZ1dm","properties":{"formattedCitation":"\\super 15\\nosupersub{}","plainCitation":"15","noteIndex":0},"citationItems":[{"id":2041,"uris":["http://zotero.org/users/10927406/items/YULXHLMR"],"itemData":{"id":2041,"type":"report","event-place":"Canada","language":"EN","number":"1","publisher":"Alzheimer Society","publisher-place":"Canada","title":"Navigating the Path Forward for Dementia in Canada: The Landmark Study Report #1","URL":"https://alzheimer.ca/en/research/reports-dementia/navigating-path-forward-landmark-report-1","author":[{"family":"Armstrong","given":"Joshua J."},{"family":"Alzheimer Society of Canada","given":""}],"issued":{"date-parts":[["2022"]]}}}],"schema":"https://github.com/citation-style-language/schema/raw/master/csl-citation.json"} </w:instrText>
      </w:r>
      <w:r w:rsidRPr="00DD3983" w:rsidR="00AC7AFC">
        <w:rPr>
          <w:rFonts w:ascii="Arial" w:hAnsi="Arial" w:cs="Arial"/>
          <w:sz w:val="22"/>
          <w:szCs w:val="22"/>
        </w:rPr>
        <w:fldChar w:fldCharType="separate"/>
      </w:r>
      <w:r w:rsidRPr="00025355" w:rsidR="00025355">
        <w:rPr>
          <w:rFonts w:ascii="Arial" w:hAnsi="Arial" w:cs="Arial"/>
          <w:kern w:val="0"/>
          <w:sz w:val="22"/>
          <w:vertAlign w:val="superscript"/>
        </w:rPr>
        <w:t>15</w:t>
      </w:r>
      <w:r w:rsidRPr="00DD3983" w:rsidR="00AC7AFC">
        <w:rPr>
          <w:rFonts w:ascii="Arial" w:hAnsi="Arial" w:cs="Arial"/>
          <w:sz w:val="22"/>
          <w:szCs w:val="22"/>
        </w:rPr>
        <w:fldChar w:fldCharType="end"/>
      </w:r>
      <w:r w:rsidRPr="00DD3983">
        <w:rPr>
          <w:rFonts w:ascii="Arial" w:hAnsi="Arial" w:cs="Arial"/>
          <w:sz w:val="22"/>
          <w:szCs w:val="22"/>
        </w:rPr>
        <w:t xml:space="preserve"> This trend is shared globally, and when considering prevalence across the AD continuum to include those in preclinical or prodromal stages, the total global estimate was 416 million, or 22% of all persons aged 50 and above</w:t>
      </w:r>
      <w:r w:rsidR="008126D0">
        <w:rPr>
          <w:rFonts w:ascii="Arial" w:hAnsi="Arial" w:cs="Arial"/>
          <w:sz w:val="22"/>
          <w:szCs w:val="22"/>
        </w:rPr>
        <w:t>.</w:t>
      </w:r>
      <w:r w:rsidRPr="00DD3983">
        <w:rPr>
          <w:rFonts w:ascii="Arial" w:hAnsi="Arial" w:cs="Arial"/>
          <w:sz w:val="22"/>
          <w:szCs w:val="22"/>
        </w:rPr>
        <w:fldChar w:fldCharType="begin"/>
      </w:r>
      <w:r w:rsidR="00025355">
        <w:rPr>
          <w:rFonts w:ascii="Arial" w:hAnsi="Arial" w:cs="Arial"/>
          <w:sz w:val="22"/>
          <w:szCs w:val="22"/>
        </w:rPr>
        <w:instrText xml:space="preserve"> ADDIN ZOTERO_ITEM CSL_CITATION {"citationID":"06S4OjTN","properties":{"formattedCitation":"\\super 16\\nosupersub{}","plainCitation":"16","noteIndex":0},"citationItems":[{"id":1975,"uris":["http://zotero.org/users/10927406/items/8Y38DU5Z"],"itemData":{"id":1975,"type":"article-journal","abstract":"INTRODUCTION: Global estimates on numbers of persons in early stages of Alzheimer's disease (AD), including prodromal and preclinical, are lacking, yet are needed to inform policy decisions on preventive measures and planning for future therapies targeting AD pathology.\nMETHODS: We synthesized the literature on prevalence across the AD continuum and derived a model estimating the number of persons, stratified by 5-year age groups, sex, and disease stage (AD dementia, prodromal AD, and preclinical AD).\nRESULTS: The global number of persons with AD dementia, prodromal AD, and preclinical AD were estimated at 32, 69, and 315 million, respectively. Together they constituted 416 million across the AD continuum, or 22% of all persons aged 50 and above.\nDISCUSSION: Considering predementia stages, the number of persons with AD is much larger than conveyed in available literature. Our estimates are uncertain, especially for predementia stages in low- and middle-income regions where biomarker studies are missing.","container-title":"Alzheimer's &amp; Dementia: The Journal of the Alzheimer's Association","DOI":"10.1002/alz.12694","ISSN":"1552-5279","issue":"2","journalAbbreviation":"Alzheimers Dement","language":"eng","note":"PMID: 35652476","page":"658-670","source":"PubMed","title":"Global estimates on the number of persons across the Alzheimer's disease continuum","volume":"19","author":[{"family":"Gustavsson","given":"Anders"},{"family":"Norton","given":"Nicholas"},{"family":"Fast","given":"Thomas"},{"family":"Frölich","given":"Lutz"},{"family":"Georges","given":"Jean"},{"family":"Holzapfel","given":"Drew"},{"family":"Kirabali","given":"Tunahan"},{"family":"Krolak-Salmon","given":"Pierre"},{"family":"Rossini","given":"Paolo M."},{"family":"Ferretti","given":"Maria Teresa"},{"family":"Lanman","given":"Lydia"},{"family":"Chadha","given":"Antonella Santuccione"},{"family":"Flier","given":"Wiesje M.","non-dropping-particle":"van der"}],"issued":{"date-parts":[["2023",2]]}}}],"schema":"https://github.com/citation-style-language/schema/raw/master/csl-citation.json"} </w:instrText>
      </w:r>
      <w:r w:rsidRPr="00DD3983">
        <w:rPr>
          <w:rFonts w:ascii="Arial" w:hAnsi="Arial" w:cs="Arial"/>
          <w:sz w:val="22"/>
          <w:szCs w:val="22"/>
        </w:rPr>
        <w:fldChar w:fldCharType="separate"/>
      </w:r>
      <w:r w:rsidRPr="00025355" w:rsidR="00025355">
        <w:rPr>
          <w:rFonts w:ascii="Arial" w:hAnsi="Arial" w:cs="Arial"/>
          <w:kern w:val="0"/>
          <w:sz w:val="22"/>
          <w:vertAlign w:val="superscript"/>
        </w:rPr>
        <w:t>16</w:t>
      </w:r>
      <w:r w:rsidRPr="00DD3983">
        <w:rPr>
          <w:rFonts w:ascii="Arial" w:hAnsi="Arial" w:cs="Arial"/>
          <w:sz w:val="22"/>
          <w:szCs w:val="22"/>
        </w:rPr>
        <w:fldChar w:fldCharType="end"/>
      </w:r>
      <w:r w:rsidRPr="00DD3983" w:rsidR="002971FD">
        <w:rPr>
          <w:rFonts w:ascii="Arial" w:hAnsi="Arial" w:cs="Arial"/>
          <w:sz w:val="22"/>
          <w:szCs w:val="22"/>
        </w:rPr>
        <w:t xml:space="preserve"> </w:t>
      </w:r>
      <w:r w:rsidRPr="00DD3983" w:rsidR="00722AC7">
        <w:rPr>
          <w:rFonts w:ascii="Arial" w:hAnsi="Arial" w:cs="Arial"/>
          <w:sz w:val="22"/>
          <w:szCs w:val="22"/>
        </w:rPr>
        <w:t>Though</w:t>
      </w:r>
      <w:r w:rsidRPr="00DD3983" w:rsidR="00107977">
        <w:rPr>
          <w:rFonts w:ascii="Arial" w:hAnsi="Arial" w:cs="Arial"/>
          <w:sz w:val="22"/>
          <w:szCs w:val="22"/>
        </w:rPr>
        <w:t xml:space="preserve"> A</w:t>
      </w:r>
      <w:r w:rsidRPr="00DD3983" w:rsidR="00974E44">
        <w:rPr>
          <w:rFonts w:ascii="Arial" w:hAnsi="Arial" w:cs="Arial"/>
          <w:sz w:val="22"/>
          <w:szCs w:val="22"/>
        </w:rPr>
        <w:t>D</w:t>
      </w:r>
      <w:r w:rsidRPr="00DD3983" w:rsidR="00722AC7">
        <w:rPr>
          <w:rFonts w:ascii="Arial" w:hAnsi="Arial" w:cs="Arial"/>
          <w:sz w:val="22"/>
          <w:szCs w:val="22"/>
        </w:rPr>
        <w:t xml:space="preserve"> not considered a</w:t>
      </w:r>
      <w:r w:rsidRPr="00DD3983" w:rsidR="00107977">
        <w:rPr>
          <w:rFonts w:ascii="Arial" w:hAnsi="Arial" w:cs="Arial"/>
          <w:sz w:val="22"/>
          <w:szCs w:val="22"/>
        </w:rPr>
        <w:t>n</w:t>
      </w:r>
      <w:r w:rsidRPr="00DD3983" w:rsidR="00722AC7">
        <w:rPr>
          <w:rFonts w:ascii="Arial" w:hAnsi="Arial" w:cs="Arial"/>
          <w:sz w:val="22"/>
          <w:szCs w:val="22"/>
        </w:rPr>
        <w:t xml:space="preserve"> </w:t>
      </w:r>
      <w:r w:rsidRPr="00DD3983" w:rsidR="00107977">
        <w:rPr>
          <w:rFonts w:ascii="Arial" w:hAnsi="Arial" w:cs="Arial"/>
          <w:sz w:val="22"/>
          <w:szCs w:val="22"/>
        </w:rPr>
        <w:t>inevitable consequence of aging, t</w:t>
      </w:r>
      <w:r w:rsidRPr="00DD3983" w:rsidR="002971FD">
        <w:rPr>
          <w:rFonts w:ascii="Arial" w:hAnsi="Arial" w:cs="Arial"/>
          <w:sz w:val="22"/>
          <w:szCs w:val="22"/>
        </w:rPr>
        <w:t xml:space="preserve">he </w:t>
      </w:r>
      <w:r w:rsidRPr="00DD3983" w:rsidR="002971FD">
        <w:rPr>
          <w:rFonts w:ascii="Arial" w:hAnsi="Arial" w:cs="Arial"/>
          <w:color w:val="000000" w:themeColor="text1"/>
          <w:sz w:val="22"/>
          <w:szCs w:val="22"/>
        </w:rPr>
        <w:t xml:space="preserve">primary risk factor involved with the incidence is age, </w:t>
      </w:r>
      <w:r w:rsidRPr="00DD3983" w:rsidR="003C5658">
        <w:rPr>
          <w:rFonts w:ascii="Arial" w:hAnsi="Arial" w:cs="Arial"/>
          <w:color w:val="000000" w:themeColor="text1"/>
          <w:sz w:val="22"/>
          <w:szCs w:val="22"/>
        </w:rPr>
        <w:t>with its incidence</w:t>
      </w:r>
      <w:r w:rsidRPr="00DD3983" w:rsidR="002971FD">
        <w:rPr>
          <w:rFonts w:ascii="Arial" w:hAnsi="Arial" w:cs="Arial"/>
          <w:color w:val="000000" w:themeColor="text1"/>
          <w:sz w:val="22"/>
          <w:szCs w:val="22"/>
        </w:rPr>
        <w:t xml:space="preserve"> called late-onset or sporadic AD</w:t>
      </w:r>
      <w:r w:rsidR="008126D0">
        <w:rPr>
          <w:rFonts w:ascii="Arial" w:hAnsi="Arial" w:cs="Arial"/>
          <w:color w:val="000000" w:themeColor="text1"/>
          <w:sz w:val="22"/>
          <w:szCs w:val="22"/>
        </w:rPr>
        <w:t>.</w:t>
      </w:r>
      <w:r w:rsidRPr="00DD3983" w:rsidR="002971FD">
        <w:rPr>
          <w:rFonts w:ascii="Arial" w:hAnsi="Arial" w:cs="Arial"/>
          <w:color w:val="000000" w:themeColor="text1"/>
          <w:sz w:val="22"/>
          <w:szCs w:val="22"/>
        </w:rPr>
        <w:fldChar w:fldCharType="begin"/>
      </w:r>
      <w:r w:rsidR="00025355">
        <w:rPr>
          <w:rFonts w:ascii="Arial" w:hAnsi="Arial" w:cs="Arial"/>
          <w:color w:val="000000" w:themeColor="text1"/>
          <w:sz w:val="22"/>
          <w:szCs w:val="22"/>
        </w:rPr>
        <w:instrText xml:space="preserve"> ADDIN ZOTERO_ITEM CSL_CITATION {"citationID":"Us1bS8zC","properties":{"formattedCitation":"\\super 7\\nosupersub{}","plainCitation":"7","noteIndex":0},"citationItems":[{"id":589,"uris":["http://zotero.org/groups/5623148/items/6TM6B8IR"],"itemData":{"id":589,"type":"article-journal","container-title":"Nature Reviews Disease Primers","DOI":"10.1038/s41572-021-00269-y","ISSN":"2056-676X","issue":"1","journalAbbreviation":"Nat Rev Dis Primers","language":"en","page":"33","source":"DOI.org (Crossref)","title":"Alzheimer disease","volume":"7","author":[{"family":"Knopman","given":"David S."},{"family":"Amieva","given":"Helene"},{"family":"Petersen","given":"Ronald C."},{"family":"Chételat","given":"Gäel"},{"family":"Holtzman","given":"David M."},{"family":"Hyman","given":"Bradley T."},{"family":"Nixon","given":"Ralph A."},{"family":"Jones","given":"David T."}],"issued":{"date-parts":[["2021",5,13]]}}}],"schema":"https://github.com/citation-style-language/schema/raw/master/csl-citation.json"} </w:instrText>
      </w:r>
      <w:r w:rsidRPr="00DD3983" w:rsidR="002971FD">
        <w:rPr>
          <w:rFonts w:ascii="Arial" w:hAnsi="Arial" w:cs="Arial"/>
          <w:color w:val="000000" w:themeColor="text1"/>
          <w:sz w:val="22"/>
          <w:szCs w:val="22"/>
        </w:rPr>
        <w:fldChar w:fldCharType="separate"/>
      </w:r>
      <w:r w:rsidRPr="00025355" w:rsidR="00025355">
        <w:rPr>
          <w:rFonts w:ascii="Arial" w:hAnsi="Arial" w:cs="Arial"/>
          <w:kern w:val="0"/>
          <w:sz w:val="22"/>
          <w:vertAlign w:val="superscript"/>
        </w:rPr>
        <w:t>7</w:t>
      </w:r>
      <w:r w:rsidRPr="00DD3983" w:rsidR="002971FD">
        <w:rPr>
          <w:rFonts w:ascii="Arial" w:hAnsi="Arial" w:cs="Arial"/>
          <w:color w:val="000000" w:themeColor="text1"/>
          <w:sz w:val="22"/>
          <w:szCs w:val="22"/>
        </w:rPr>
        <w:fldChar w:fldCharType="end"/>
      </w:r>
      <w:r w:rsidRPr="00DD3983" w:rsidR="002971FD">
        <w:rPr>
          <w:rFonts w:ascii="Arial" w:hAnsi="Arial" w:cs="Arial"/>
          <w:color w:val="000000" w:themeColor="text1"/>
          <w:sz w:val="22"/>
          <w:szCs w:val="22"/>
        </w:rPr>
        <w:t xml:space="preserve"> In the United States, approximately 10.9% of individuals aged 65 and older are living with Alzheimer's, with prevalence increasing </w:t>
      </w:r>
      <w:r w:rsidRPr="00DD3983" w:rsidR="00633035">
        <w:rPr>
          <w:rFonts w:ascii="Arial" w:hAnsi="Arial" w:cs="Arial"/>
          <w:color w:val="000000" w:themeColor="text1"/>
          <w:sz w:val="22"/>
          <w:szCs w:val="22"/>
        </w:rPr>
        <w:t>per age bracket</w:t>
      </w:r>
      <w:r w:rsidRPr="00DD3983" w:rsidR="002971FD">
        <w:rPr>
          <w:rFonts w:ascii="Arial" w:hAnsi="Arial" w:cs="Arial"/>
          <w:color w:val="000000" w:themeColor="text1"/>
          <w:sz w:val="22"/>
          <w:szCs w:val="22"/>
        </w:rPr>
        <w:t xml:space="preserve"> from 5% among those aged 65 to 74, to 13.2% among those aged 75 to 84, and 33.4% among those aged 85 and older</w:t>
      </w:r>
      <w:r w:rsidR="008126D0">
        <w:rPr>
          <w:rFonts w:ascii="Arial" w:hAnsi="Arial" w:cs="Arial"/>
          <w:color w:val="000000" w:themeColor="text1"/>
          <w:sz w:val="22"/>
          <w:szCs w:val="22"/>
        </w:rPr>
        <w:t>.</w:t>
      </w:r>
      <w:r w:rsidRPr="00DD3983" w:rsidR="007E55BE">
        <w:rPr>
          <w:rFonts w:ascii="Arial" w:hAnsi="Arial" w:cs="Arial"/>
          <w:color w:val="000000" w:themeColor="text1"/>
          <w:sz w:val="22"/>
          <w:szCs w:val="22"/>
        </w:rPr>
        <w:fldChar w:fldCharType="begin"/>
      </w:r>
      <w:r w:rsidR="00025355">
        <w:rPr>
          <w:rFonts w:ascii="Arial" w:hAnsi="Arial" w:cs="Arial"/>
          <w:color w:val="000000" w:themeColor="text1"/>
          <w:sz w:val="22"/>
          <w:szCs w:val="22"/>
        </w:rPr>
        <w:instrText xml:space="preserve"> ADDIN ZOTERO_ITEM CSL_CITATION {"citationID":"KQE6t5aa","properties":{"formattedCitation":"\\super 17\\nosupersub{}","plainCitation":"17","noteIndex":0},"citationItems":[{"id":1965,"uris":["http://zotero.org/users/10927406/items/ET3QIZFM"],"itemData":{"id":1965,"type":"article-journal","abstract":"This article describes the public health impact of Alzheimer's disease (AD), including prevalence and incidence, mortality and morbidity, use and costs of care and the ramifications of AD for family caregivers, the dementia workforce and society. The Special Report discusses the larger health care system for older adults with cognitive issues, focusing on the role of caregivers and non</w:instrText>
      </w:r>
      <w:r w:rsidR="00025355">
        <w:rPr>
          <w:rFonts w:ascii="Cambria Math" w:hAnsi="Cambria Math" w:cs="Cambria Math"/>
          <w:color w:val="000000" w:themeColor="text1"/>
          <w:sz w:val="22"/>
          <w:szCs w:val="22"/>
        </w:rPr>
        <w:instrText>‐</w:instrText>
      </w:r>
      <w:r w:rsidR="00025355">
        <w:rPr>
          <w:rFonts w:ascii="Arial" w:hAnsi="Arial" w:cs="Arial"/>
          <w:color w:val="000000" w:themeColor="text1"/>
          <w:sz w:val="22"/>
          <w:szCs w:val="22"/>
        </w:rPr>
        <w:instrText>physician health care professionals. An estimated 6.9 million Americans age 65 and older are living with Alzheimer's dementia today. This number could grow to 13.8 million by 2060, barring the development of medical breakthroughs to prevent or cure AD. Official AD death certificates recorded 119,399 deaths from AD in 2021. In 2020 and 2021, when COVID</w:instrText>
      </w:r>
      <w:r w:rsidR="00025355">
        <w:rPr>
          <w:rFonts w:ascii="Cambria Math" w:hAnsi="Cambria Math" w:cs="Cambria Math"/>
          <w:color w:val="000000" w:themeColor="text1"/>
          <w:sz w:val="22"/>
          <w:szCs w:val="22"/>
        </w:rPr>
        <w:instrText>‐</w:instrText>
      </w:r>
      <w:r w:rsidR="00025355">
        <w:rPr>
          <w:rFonts w:ascii="Arial" w:hAnsi="Arial" w:cs="Arial"/>
          <w:color w:val="000000" w:themeColor="text1"/>
          <w:sz w:val="22"/>
          <w:szCs w:val="22"/>
        </w:rPr>
        <w:instrText>19 entered the ranks of the top ten causes of death, Alzheimer's was the seventh</w:instrText>
      </w:r>
      <w:r w:rsidR="00025355">
        <w:rPr>
          <w:rFonts w:ascii="Cambria Math" w:hAnsi="Cambria Math" w:cs="Cambria Math"/>
          <w:color w:val="000000" w:themeColor="text1"/>
          <w:sz w:val="22"/>
          <w:szCs w:val="22"/>
        </w:rPr>
        <w:instrText>‐</w:instrText>
      </w:r>
      <w:r w:rsidR="00025355">
        <w:rPr>
          <w:rFonts w:ascii="Arial" w:hAnsi="Arial" w:cs="Arial"/>
          <w:color w:val="000000" w:themeColor="text1"/>
          <w:sz w:val="22"/>
          <w:szCs w:val="22"/>
        </w:rPr>
        <w:instrText>leading cause of death in the United States. Official counts for more recent years are still being compiled. Alzheimer's remains the fifth</w:instrText>
      </w:r>
      <w:r w:rsidR="00025355">
        <w:rPr>
          <w:rFonts w:ascii="Cambria Math" w:hAnsi="Cambria Math" w:cs="Cambria Math"/>
          <w:color w:val="000000" w:themeColor="text1"/>
          <w:sz w:val="22"/>
          <w:szCs w:val="22"/>
        </w:rPr>
        <w:instrText>‐</w:instrText>
      </w:r>
      <w:r w:rsidR="00025355">
        <w:rPr>
          <w:rFonts w:ascii="Arial" w:hAnsi="Arial" w:cs="Arial"/>
          <w:color w:val="000000" w:themeColor="text1"/>
          <w:sz w:val="22"/>
          <w:szCs w:val="22"/>
        </w:rPr>
        <w:instrText>leading cause of death among Americans age 65 and older. Between 2000 and 2021, deaths from stroke, heart disease and HIV decreased, whereas reported deaths from AD increased more than 140%. More than 11 million family members and other unpaid caregivers provided an estimated 18.4 billion hours of care to people with Alzheimer's or other dementias in 2023. These figures reflect a decline in the number of caregivers compared with a decade earlier, as well as an increase in the amount of care provided by each remaining caregiver. Unpaid dementia caregiving was valued at $346.6 billion in 2023. Its costs, however, extend to unpaid caregivers’ increased risk for emotional distress and negative mental and physical health outcomes. Members of the paid health care and broader community</w:instrText>
      </w:r>
      <w:r w:rsidR="00025355">
        <w:rPr>
          <w:rFonts w:ascii="Cambria Math" w:hAnsi="Cambria Math" w:cs="Cambria Math"/>
          <w:color w:val="000000" w:themeColor="text1"/>
          <w:sz w:val="22"/>
          <w:szCs w:val="22"/>
        </w:rPr>
        <w:instrText>‐</w:instrText>
      </w:r>
      <w:r w:rsidR="00025355">
        <w:rPr>
          <w:rFonts w:ascii="Arial" w:hAnsi="Arial" w:cs="Arial"/>
          <w:color w:val="000000" w:themeColor="text1"/>
          <w:sz w:val="22"/>
          <w:szCs w:val="22"/>
        </w:rPr>
        <w:instrText>based workforce are involved in diagnosing, treating and caring for people with dementia. However, the United States faces growing shortages across different segments of the dementia care workforce due to a combination of factors, including the absolute increase in the number of people living with dementia. Therefore, targeted programs and care delivery models will be needed to attract, better train and effectively deploy health care and community</w:instrText>
      </w:r>
      <w:r w:rsidR="00025355">
        <w:rPr>
          <w:rFonts w:ascii="Cambria Math" w:hAnsi="Cambria Math" w:cs="Cambria Math"/>
          <w:color w:val="000000" w:themeColor="text1"/>
          <w:sz w:val="22"/>
          <w:szCs w:val="22"/>
        </w:rPr>
        <w:instrText>‐</w:instrText>
      </w:r>
      <w:r w:rsidR="00025355">
        <w:rPr>
          <w:rFonts w:ascii="Arial" w:hAnsi="Arial" w:cs="Arial"/>
          <w:color w:val="000000" w:themeColor="text1"/>
          <w:sz w:val="22"/>
          <w:szCs w:val="22"/>
        </w:rPr>
        <w:instrText>based workers to provide dementia care. Average per</w:instrText>
      </w:r>
      <w:r w:rsidR="00025355">
        <w:rPr>
          <w:rFonts w:ascii="Cambria Math" w:hAnsi="Cambria Math" w:cs="Cambria Math"/>
          <w:color w:val="000000" w:themeColor="text1"/>
          <w:sz w:val="22"/>
          <w:szCs w:val="22"/>
        </w:rPr>
        <w:instrText>‐</w:instrText>
      </w:r>
      <w:r w:rsidR="00025355">
        <w:rPr>
          <w:rFonts w:ascii="Arial" w:hAnsi="Arial" w:cs="Arial"/>
          <w:color w:val="000000" w:themeColor="text1"/>
          <w:sz w:val="22"/>
          <w:szCs w:val="22"/>
        </w:rPr>
        <w:instrText>person Medicare payments for services to beneficiaries age 65 and older with AD or other dementias are almost three times as great as payments for beneficiaries without these conditions, and Medicaid payments are more than 22 times as great. Total payments in 2024 for health care, long</w:instrText>
      </w:r>
      <w:r w:rsidR="00025355">
        <w:rPr>
          <w:rFonts w:ascii="Cambria Math" w:hAnsi="Cambria Math" w:cs="Cambria Math"/>
          <w:color w:val="000000" w:themeColor="text1"/>
          <w:sz w:val="22"/>
          <w:szCs w:val="22"/>
        </w:rPr>
        <w:instrText>‐</w:instrText>
      </w:r>
      <w:r w:rsidR="00025355">
        <w:rPr>
          <w:rFonts w:ascii="Arial" w:hAnsi="Arial" w:cs="Arial"/>
          <w:color w:val="000000" w:themeColor="text1"/>
          <w:sz w:val="22"/>
          <w:szCs w:val="22"/>
        </w:rPr>
        <w:instrText>term care and hospice services for people age 65 and older with dementia are estimated to be $360 billion. The Special Report investigates how caregivers of older adults with cognitive issues interact with the health care system and examines the role non</w:instrText>
      </w:r>
      <w:r w:rsidR="00025355">
        <w:rPr>
          <w:rFonts w:ascii="Cambria Math" w:hAnsi="Cambria Math" w:cs="Cambria Math"/>
          <w:color w:val="000000" w:themeColor="text1"/>
          <w:sz w:val="22"/>
          <w:szCs w:val="22"/>
        </w:rPr>
        <w:instrText>‐</w:instrText>
      </w:r>
      <w:r w:rsidR="00025355">
        <w:rPr>
          <w:rFonts w:ascii="Arial" w:hAnsi="Arial" w:cs="Arial"/>
          <w:color w:val="000000" w:themeColor="text1"/>
          <w:sz w:val="22"/>
          <w:szCs w:val="22"/>
        </w:rPr>
        <w:instrText>physician health care professionals play in facilitating clinical care and access to community</w:instrText>
      </w:r>
      <w:r w:rsidR="00025355">
        <w:rPr>
          <w:rFonts w:ascii="Cambria Math" w:hAnsi="Cambria Math" w:cs="Cambria Math"/>
          <w:color w:val="000000" w:themeColor="text1"/>
          <w:sz w:val="22"/>
          <w:szCs w:val="22"/>
        </w:rPr>
        <w:instrText>‐</w:instrText>
      </w:r>
      <w:r w:rsidR="00025355">
        <w:rPr>
          <w:rFonts w:ascii="Arial" w:hAnsi="Arial" w:cs="Arial"/>
          <w:color w:val="000000" w:themeColor="text1"/>
          <w:sz w:val="22"/>
          <w:szCs w:val="22"/>
        </w:rPr>
        <w:instrText xml:space="preserve">based services and supports. It includes surveys of caregivers and health care workers, focusing on their experiences, challenges, awareness and perceptions of dementia care navigation.","container-title":"Alzheimer's &amp; Dementia","DOI":"10.1002/alz.13809","ISSN":"1552-5260","issue":"5","journalAbbreviation":"Alzheimers Dement","note":"PMID: 38689398\nPMCID: PMC11095490","page":"3708-3821","source":"PubMed Central","title":"2024 Alzheimer's disease facts and figures","volume":"20","issued":{"date-parts":[["2024",4,30]]}}}],"schema":"https://github.com/citation-style-language/schema/raw/master/csl-citation.json"} </w:instrText>
      </w:r>
      <w:r w:rsidRPr="00DD3983" w:rsidR="007E55BE">
        <w:rPr>
          <w:rFonts w:ascii="Arial" w:hAnsi="Arial" w:cs="Arial"/>
          <w:color w:val="000000" w:themeColor="text1"/>
          <w:sz w:val="22"/>
          <w:szCs w:val="22"/>
        </w:rPr>
        <w:fldChar w:fldCharType="separate"/>
      </w:r>
      <w:r w:rsidRPr="00025355" w:rsidR="00025355">
        <w:rPr>
          <w:rFonts w:ascii="Arial" w:hAnsi="Arial" w:cs="Arial"/>
          <w:kern w:val="0"/>
          <w:sz w:val="22"/>
          <w:vertAlign w:val="superscript"/>
        </w:rPr>
        <w:t>17</w:t>
      </w:r>
      <w:r w:rsidRPr="00DD3983" w:rsidR="007E55BE">
        <w:rPr>
          <w:rFonts w:ascii="Arial" w:hAnsi="Arial" w:cs="Arial"/>
          <w:color w:val="000000" w:themeColor="text1"/>
          <w:sz w:val="22"/>
          <w:szCs w:val="22"/>
        </w:rPr>
        <w:fldChar w:fldCharType="end"/>
      </w:r>
      <w:r w:rsidR="008126D0">
        <w:rPr>
          <w:rFonts w:ascii="Arial" w:hAnsi="Arial" w:cs="Arial"/>
          <w:color w:val="000000" w:themeColor="text1"/>
          <w:sz w:val="22"/>
          <w:szCs w:val="22"/>
        </w:rPr>
        <w:t xml:space="preserve"> </w:t>
      </w:r>
      <w:r w:rsidRPr="00DD3983" w:rsidR="002971FD">
        <w:rPr>
          <w:rFonts w:ascii="Arial" w:hAnsi="Arial" w:cs="Arial"/>
          <w:color w:val="000000" w:themeColor="text1"/>
          <w:sz w:val="22"/>
          <w:szCs w:val="22"/>
        </w:rPr>
        <w:t xml:space="preserve">This </w:t>
      </w:r>
      <w:r w:rsidRPr="00DD3983" w:rsidR="00AC7AFC">
        <w:rPr>
          <w:rFonts w:ascii="Arial" w:hAnsi="Arial" w:cs="Arial"/>
          <w:color w:val="000000" w:themeColor="text1"/>
          <w:sz w:val="22"/>
          <w:szCs w:val="22"/>
        </w:rPr>
        <w:t>contrasts with</w:t>
      </w:r>
      <w:r w:rsidRPr="00DD3983" w:rsidR="002971FD">
        <w:rPr>
          <w:rFonts w:ascii="Arial" w:hAnsi="Arial" w:cs="Arial"/>
          <w:color w:val="000000" w:themeColor="text1"/>
          <w:sz w:val="22"/>
          <w:szCs w:val="22"/>
        </w:rPr>
        <w:t xml:space="preserve"> the other category called familial AD, which has a basis in </w:t>
      </w:r>
      <w:r w:rsidRPr="00DD3983" w:rsidR="00FC536B">
        <w:rPr>
          <w:rFonts w:ascii="Arial" w:hAnsi="Arial" w:cs="Arial"/>
          <w:color w:val="000000" w:themeColor="text1"/>
          <w:sz w:val="22"/>
          <w:szCs w:val="22"/>
        </w:rPr>
        <w:t xml:space="preserve">the mutation of three identified </w:t>
      </w:r>
      <w:r w:rsidRPr="00DD3983" w:rsidR="00AC7AFC">
        <w:rPr>
          <w:rFonts w:ascii="Arial" w:hAnsi="Arial" w:cs="Arial"/>
          <w:color w:val="000000" w:themeColor="text1"/>
          <w:sz w:val="22"/>
          <w:szCs w:val="22"/>
        </w:rPr>
        <w:t>genes:</w:t>
      </w:r>
      <w:r w:rsidRPr="00DD3983" w:rsidR="002971FD">
        <w:rPr>
          <w:rFonts w:ascii="Arial" w:hAnsi="Arial" w:cs="Arial"/>
          <w:color w:val="000000" w:themeColor="text1"/>
          <w:sz w:val="22"/>
          <w:szCs w:val="22"/>
        </w:rPr>
        <w:t xml:space="preserve"> amyloid precursor protein (APP) gene, presenilin1 (PSEN1) gene and </w:t>
      </w:r>
      <w:r w:rsidRPr="00DD3983" w:rsidR="0035361E">
        <w:rPr>
          <w:rFonts w:ascii="Arial" w:hAnsi="Arial" w:cs="Arial"/>
          <w:color w:val="000000" w:themeColor="text1"/>
          <w:sz w:val="22"/>
          <w:szCs w:val="22"/>
        </w:rPr>
        <w:t>the</w:t>
      </w:r>
      <w:r w:rsidRPr="00DD3983" w:rsidR="002971FD">
        <w:rPr>
          <w:rFonts w:ascii="Arial" w:hAnsi="Arial" w:cs="Arial"/>
          <w:color w:val="000000" w:themeColor="text1"/>
          <w:sz w:val="22"/>
          <w:szCs w:val="22"/>
        </w:rPr>
        <w:t xml:space="preserve"> presenilin 2 (PSEN2) gene</w:t>
      </w:r>
      <w:r w:rsidRPr="00DD3983" w:rsidR="0035361E">
        <w:rPr>
          <w:rFonts w:ascii="Arial" w:hAnsi="Arial" w:cs="Arial"/>
          <w:color w:val="000000" w:themeColor="text1"/>
          <w:sz w:val="22"/>
          <w:szCs w:val="22"/>
        </w:rPr>
        <w:t>.</w:t>
      </w:r>
      <w:r w:rsidRPr="00DD3983" w:rsidR="002971FD">
        <w:rPr>
          <w:rFonts w:ascii="Arial" w:hAnsi="Arial" w:cs="Arial"/>
          <w:color w:val="000000" w:themeColor="text1"/>
          <w:sz w:val="22"/>
          <w:szCs w:val="22"/>
        </w:rPr>
        <w:t xml:space="preserve"> </w:t>
      </w:r>
      <w:r w:rsidRPr="00DD3983" w:rsidR="0035361E">
        <w:rPr>
          <w:rFonts w:ascii="Arial" w:hAnsi="Arial" w:cs="Arial"/>
          <w:color w:val="000000" w:themeColor="text1"/>
          <w:sz w:val="22"/>
          <w:szCs w:val="22"/>
        </w:rPr>
        <w:t>H</w:t>
      </w:r>
      <w:r w:rsidRPr="00DD3983" w:rsidR="002971FD">
        <w:rPr>
          <w:rFonts w:ascii="Arial" w:hAnsi="Arial" w:cs="Arial"/>
          <w:color w:val="000000" w:themeColor="text1"/>
          <w:sz w:val="22"/>
          <w:szCs w:val="22"/>
        </w:rPr>
        <w:t>owever, these cases represent only a small fraction of AD with the highest estimates only representing roughly 5% of cases</w:t>
      </w:r>
      <w:r w:rsidR="008126D0">
        <w:rPr>
          <w:rFonts w:ascii="Arial" w:hAnsi="Arial" w:cs="Arial"/>
          <w:color w:val="000000" w:themeColor="text1"/>
          <w:sz w:val="22"/>
          <w:szCs w:val="22"/>
        </w:rPr>
        <w:t>.</w:t>
      </w:r>
      <w:r w:rsidRPr="00DD3983" w:rsidR="002971FD">
        <w:rPr>
          <w:rFonts w:ascii="Arial" w:hAnsi="Arial" w:cs="Arial"/>
          <w:color w:val="000000" w:themeColor="text1"/>
          <w:sz w:val="22"/>
          <w:szCs w:val="22"/>
        </w:rPr>
        <w:fldChar w:fldCharType="begin"/>
      </w:r>
      <w:r w:rsidR="00025355">
        <w:rPr>
          <w:rFonts w:ascii="Arial" w:hAnsi="Arial" w:cs="Arial"/>
          <w:color w:val="000000" w:themeColor="text1"/>
          <w:sz w:val="22"/>
          <w:szCs w:val="22"/>
        </w:rPr>
        <w:instrText xml:space="preserve"> ADDIN ZOTERO_ITEM CSL_CITATION {"citationID":"puOAgw4j","properties":{"formattedCitation":"\\super 18\\nosupersub{}","plainCitation":"18","noteIndex":0},"citationItems":[{"id":1974,"uris":["http://zotero.org/users/10927406/items/7XEA9I3A"],"itemData":{"id":1974,"type":"article-journal","abstract":"Alzheimer's disease (AD) is an age-related progressive neurodegenerative disorder. A majority of cases manifest as a late onset sporadic form but genetically the disease is divided into familial cases and sporadic cases. The familial form is due to mutations in three major genes [amyloid precursor protein (APP) gene, presenilin1 (PSEN1) gene and presenilin 2 (PSEN2) gene]. In contrast, many genetic and environmental factors may contribute to determining the sporadic AD form. Despite many years of research and great progress in the knowledge of the molecular pathogenesis of AD, a full understanding of the etiology of the sporadic form is still not yet in reach. Genome-wide association studies (GWASs) revealed the genetic complexity of the disease and recent studies suggested that epigenetic mechanisms may play an essential role in disease development. This review provides an overview of all the milestones in AD genetic research, as well as the new and promising approach, in order to better understand the genetic profile for predicting the risk of AD.","container-title":"Frontiers in Bioscience-Elite","DOI":"10.2741/E605","ISSN":"1945-0494","issue":"1","journalAbbreviation":"FBE","note":"number: 1\npublisher: IMR Press","page":"167-177","source":"www.imrpress.com","title":"Genetics of familial and sporadic Alzheimer’s disease","volume":"5","author":[{"family":"Piaceri","given":"Irene"},{"family":"Nacmias","given":"Benedetta"},{"family":"Sorbi","given":"Sandro"}],"issued":{"date-parts":[["2013",1,1]]}}}],"schema":"https://github.com/citation-style-language/schema/raw/master/csl-citation.json"} </w:instrText>
      </w:r>
      <w:r w:rsidRPr="00DD3983" w:rsidR="002971FD">
        <w:rPr>
          <w:rFonts w:ascii="Arial" w:hAnsi="Arial" w:cs="Arial"/>
          <w:color w:val="000000" w:themeColor="text1"/>
          <w:sz w:val="22"/>
          <w:szCs w:val="22"/>
        </w:rPr>
        <w:fldChar w:fldCharType="separate"/>
      </w:r>
      <w:r w:rsidRPr="00025355" w:rsidR="00025355">
        <w:rPr>
          <w:rFonts w:ascii="Arial" w:hAnsi="Arial" w:cs="Arial"/>
          <w:kern w:val="0"/>
          <w:sz w:val="22"/>
          <w:vertAlign w:val="superscript"/>
        </w:rPr>
        <w:t>18</w:t>
      </w:r>
      <w:r w:rsidRPr="00DD3983" w:rsidR="002971FD">
        <w:rPr>
          <w:rFonts w:ascii="Arial" w:hAnsi="Arial" w:cs="Arial"/>
          <w:color w:val="000000" w:themeColor="text1"/>
          <w:sz w:val="22"/>
          <w:szCs w:val="22"/>
        </w:rPr>
        <w:fldChar w:fldCharType="end"/>
      </w:r>
      <w:r w:rsidRPr="00DD3983" w:rsidR="002971FD">
        <w:rPr>
          <w:rFonts w:ascii="Arial" w:hAnsi="Arial" w:cs="Arial"/>
          <w:color w:val="000000" w:themeColor="text1"/>
          <w:sz w:val="22"/>
          <w:szCs w:val="22"/>
        </w:rPr>
        <w:t xml:space="preserve"> Furthermore</w:t>
      </w:r>
      <w:r w:rsidRPr="00DD3983" w:rsidR="00CF5B0A">
        <w:rPr>
          <w:rFonts w:ascii="Arial" w:hAnsi="Arial" w:cs="Arial"/>
          <w:color w:val="000000" w:themeColor="text1"/>
          <w:sz w:val="22"/>
          <w:szCs w:val="22"/>
        </w:rPr>
        <w:t>,</w:t>
      </w:r>
      <w:r w:rsidRPr="00DD3983" w:rsidR="007B00A7">
        <w:rPr>
          <w:rFonts w:ascii="Arial" w:hAnsi="Arial" w:cs="Arial"/>
          <w:color w:val="000000" w:themeColor="text1"/>
          <w:sz w:val="22"/>
          <w:szCs w:val="22"/>
        </w:rPr>
        <w:t xml:space="preserve"> AD </w:t>
      </w:r>
      <w:r w:rsidRPr="00DD3983" w:rsidR="00451654">
        <w:rPr>
          <w:rFonts w:ascii="Arial" w:hAnsi="Arial" w:cs="Arial"/>
          <w:color w:val="000000" w:themeColor="text1"/>
          <w:sz w:val="22"/>
          <w:szCs w:val="22"/>
        </w:rPr>
        <w:t>has significant</w:t>
      </w:r>
      <w:r w:rsidRPr="00DD3983" w:rsidR="00CD0483">
        <w:rPr>
          <w:rFonts w:ascii="Arial" w:hAnsi="Arial" w:cs="Arial"/>
          <w:color w:val="000000" w:themeColor="text1"/>
          <w:sz w:val="22"/>
          <w:szCs w:val="22"/>
        </w:rPr>
        <w:t xml:space="preserve"> economic and mortality</w:t>
      </w:r>
      <w:r w:rsidRPr="00DD3983" w:rsidR="007B00A7">
        <w:rPr>
          <w:rFonts w:ascii="Arial" w:hAnsi="Arial" w:cs="Arial"/>
          <w:color w:val="000000" w:themeColor="text1"/>
          <w:sz w:val="22"/>
          <w:szCs w:val="22"/>
        </w:rPr>
        <w:t xml:space="preserve"> burden</w:t>
      </w:r>
      <w:r w:rsidRPr="00DD3983" w:rsidR="00CD0483">
        <w:rPr>
          <w:rFonts w:ascii="Arial" w:hAnsi="Arial" w:cs="Arial"/>
          <w:color w:val="000000" w:themeColor="text1"/>
          <w:sz w:val="22"/>
          <w:szCs w:val="22"/>
        </w:rPr>
        <w:t>. H</w:t>
      </w:r>
      <w:r w:rsidRPr="00DD3983" w:rsidR="00CF5B0A">
        <w:rPr>
          <w:rFonts w:ascii="Arial" w:hAnsi="Arial" w:cs="Arial"/>
          <w:color w:val="000000" w:themeColor="text1"/>
          <w:sz w:val="22"/>
          <w:szCs w:val="22"/>
        </w:rPr>
        <w:t>ealthcare costs</w:t>
      </w:r>
      <w:r w:rsidRPr="00DD3983" w:rsidR="00797DA9">
        <w:rPr>
          <w:rFonts w:ascii="Arial" w:hAnsi="Arial" w:cs="Arial"/>
          <w:color w:val="000000" w:themeColor="text1"/>
          <w:sz w:val="22"/>
          <w:szCs w:val="22"/>
        </w:rPr>
        <w:t xml:space="preserve"> in Canada</w:t>
      </w:r>
      <w:r w:rsidRPr="00DD3983" w:rsidR="00CF5B0A">
        <w:rPr>
          <w:rFonts w:ascii="Arial" w:hAnsi="Arial" w:cs="Arial"/>
          <w:color w:val="000000" w:themeColor="text1"/>
          <w:sz w:val="22"/>
          <w:szCs w:val="22"/>
        </w:rPr>
        <w:t xml:space="preserve"> associated with dementia are projected to surpass $16 billion by 2031, with global economic costs expected to reach $2.8 trillion by 2030</w:t>
      </w:r>
      <w:r w:rsidR="008126D0">
        <w:rPr>
          <w:rFonts w:ascii="Arial" w:hAnsi="Arial" w:cs="Arial"/>
          <w:color w:val="000000" w:themeColor="text1"/>
          <w:sz w:val="22"/>
          <w:szCs w:val="22"/>
        </w:rPr>
        <w:t>.</w:t>
      </w:r>
      <w:r w:rsidR="00404812">
        <w:rPr>
          <w:rFonts w:ascii="Arial" w:hAnsi="Arial" w:cs="Arial"/>
          <w:color w:val="000000" w:themeColor="text1"/>
          <w:sz w:val="22"/>
          <w:szCs w:val="22"/>
        </w:rPr>
        <w:fldChar w:fldCharType="begin"/>
      </w:r>
      <w:r w:rsidR="00025355">
        <w:rPr>
          <w:rFonts w:ascii="Arial" w:hAnsi="Arial" w:cs="Arial"/>
          <w:color w:val="000000" w:themeColor="text1"/>
          <w:sz w:val="22"/>
          <w:szCs w:val="22"/>
        </w:rPr>
        <w:instrText xml:space="preserve"> ADDIN ZOTERO_ITEM CSL_CITATION {"citationID":"u9t8Vml7","properties":{"formattedCitation":"\\super 19,20\\nosupersub{}","plainCitation":"19,20","noteIndex":0},"citationItems":[{"id":"7XVybpWP/Lf818b9u","uris":["http://zotero.org/users/14808070/items/S9H5WZS6"],"itemData":{"id":1095,"type":"webpage","abstract":"Dementia in Canada, including Alzheimer's Disease: Highlights from the Canadian Chronic Disease Surveillance System","genre":"research","language":"eng","note":"Last Modified: 2017-09-21","title":"Dementia in Canada, including Alzheimer's Disease: Highlights from the Canadian Chronic Disease Surveillance System","title-short":"Dementia in Canada, including Alzheimer's Disease","URL":"https://www.canada.ca/en/public-health/services/publications/diseases-conditions/dementia-highlights-canadian-chronic-disease-surveillance.html","author":[{"family":"Public Health Agency of Canada","given":""}],"accessed":{"date-parts":[["2025",3,25]]},"issued":{"date-parts":[["2017",9,18]]}}},{"id":"7XVybpWP/V7rT2LYU","uris":["http://zotero.org/users/14808070/items/5ENG2XKW"],"itemData":{"id":1097,"type":"webpage","abstract":"As the global population ages, the number of people living with dementia is expected to triple from 50 million to 152 million by 2050.","language":"en","title":"Dementia: number of people affected to triple in next 30 years","title-short":"Dementia","URL":"https://www.who.int/news/item/07-12-2017-dementia-number-of-people-affected-to-triple-in-next-30-years","author":[{"family":"World Health Organization","given":""}],"accessed":{"date-parts":[["2025",3,25]]},"issued":{"date-parts":[["2017"]]}}}],"schema":"https://github.com/citation-style-language/schema/raw/master/csl-citation.json"} </w:instrText>
      </w:r>
      <w:r w:rsidR="00404812">
        <w:rPr>
          <w:rFonts w:ascii="Arial" w:hAnsi="Arial" w:cs="Arial"/>
          <w:color w:val="000000" w:themeColor="text1"/>
          <w:sz w:val="22"/>
          <w:szCs w:val="22"/>
        </w:rPr>
        <w:fldChar w:fldCharType="separate"/>
      </w:r>
      <w:r w:rsidRPr="00025355" w:rsidR="00025355">
        <w:rPr>
          <w:rFonts w:ascii="Arial" w:hAnsi="Arial" w:cs="Arial"/>
          <w:kern w:val="0"/>
          <w:sz w:val="22"/>
          <w:vertAlign w:val="superscript"/>
        </w:rPr>
        <w:t>19,20</w:t>
      </w:r>
      <w:r w:rsidR="00404812">
        <w:rPr>
          <w:rFonts w:ascii="Arial" w:hAnsi="Arial" w:cs="Arial"/>
          <w:color w:val="000000" w:themeColor="text1"/>
          <w:sz w:val="22"/>
          <w:szCs w:val="22"/>
        </w:rPr>
        <w:fldChar w:fldCharType="end"/>
      </w:r>
      <w:r w:rsidR="0002487E">
        <w:rPr>
          <w:rFonts w:ascii="Arial" w:hAnsi="Arial" w:cs="Arial"/>
          <w:color w:val="000000" w:themeColor="text1"/>
          <w:sz w:val="22"/>
          <w:szCs w:val="22"/>
        </w:rPr>
        <w:t xml:space="preserve"> T</w:t>
      </w:r>
      <w:r w:rsidRPr="00DD3983" w:rsidR="001F33A5">
        <w:rPr>
          <w:rFonts w:ascii="Arial" w:hAnsi="Arial" w:cs="Arial"/>
          <w:color w:val="000000" w:themeColor="text1"/>
          <w:sz w:val="22"/>
          <w:szCs w:val="22"/>
        </w:rPr>
        <w:t>his is in addition to</w:t>
      </w:r>
      <w:r w:rsidRPr="00DD3983" w:rsidR="003861DA">
        <w:rPr>
          <w:rFonts w:ascii="Arial" w:hAnsi="Arial" w:cs="Arial"/>
          <w:color w:val="000000" w:themeColor="text1"/>
          <w:sz w:val="22"/>
          <w:szCs w:val="22"/>
        </w:rPr>
        <w:t xml:space="preserve"> the WHO currently list</w:t>
      </w:r>
      <w:r w:rsidRPr="00DD3983" w:rsidR="001F33A5">
        <w:rPr>
          <w:rFonts w:ascii="Arial" w:hAnsi="Arial" w:cs="Arial"/>
          <w:color w:val="000000" w:themeColor="text1"/>
          <w:sz w:val="22"/>
          <w:szCs w:val="22"/>
        </w:rPr>
        <w:t>ing</w:t>
      </w:r>
      <w:r w:rsidRPr="00DD3983" w:rsidR="003861DA">
        <w:rPr>
          <w:rFonts w:ascii="Arial" w:hAnsi="Arial" w:cs="Arial"/>
          <w:color w:val="000000" w:themeColor="text1"/>
          <w:sz w:val="22"/>
          <w:szCs w:val="22"/>
        </w:rPr>
        <w:t xml:space="preserve"> AD and</w:t>
      </w:r>
      <w:r w:rsidRPr="00DD3983" w:rsidR="00F76602">
        <w:rPr>
          <w:rFonts w:ascii="Arial" w:hAnsi="Arial" w:cs="Arial"/>
          <w:color w:val="000000" w:themeColor="text1"/>
          <w:sz w:val="22"/>
          <w:szCs w:val="22"/>
        </w:rPr>
        <w:t xml:space="preserve"> other</w:t>
      </w:r>
      <w:r w:rsidRPr="00DD3983" w:rsidR="003861DA">
        <w:rPr>
          <w:rFonts w:ascii="Arial" w:hAnsi="Arial" w:cs="Arial"/>
          <w:color w:val="000000" w:themeColor="text1"/>
          <w:sz w:val="22"/>
          <w:szCs w:val="22"/>
        </w:rPr>
        <w:t xml:space="preserve"> dementia</w:t>
      </w:r>
      <w:r w:rsidRPr="00DD3983" w:rsidR="00F76602">
        <w:rPr>
          <w:rFonts w:ascii="Arial" w:hAnsi="Arial" w:cs="Arial"/>
          <w:color w:val="000000" w:themeColor="text1"/>
          <w:sz w:val="22"/>
          <w:szCs w:val="22"/>
        </w:rPr>
        <w:t>s</w:t>
      </w:r>
      <w:r w:rsidRPr="00DD3983" w:rsidR="003861DA">
        <w:rPr>
          <w:rFonts w:ascii="Arial" w:hAnsi="Arial" w:cs="Arial"/>
          <w:color w:val="000000" w:themeColor="text1"/>
          <w:sz w:val="22"/>
          <w:szCs w:val="22"/>
        </w:rPr>
        <w:t xml:space="preserve"> as the 7</w:t>
      </w:r>
      <w:r w:rsidRPr="00DD3983" w:rsidR="003861DA">
        <w:rPr>
          <w:rFonts w:ascii="Arial" w:hAnsi="Arial" w:cs="Arial"/>
          <w:color w:val="000000" w:themeColor="text1"/>
          <w:sz w:val="22"/>
          <w:szCs w:val="22"/>
          <w:vertAlign w:val="superscript"/>
        </w:rPr>
        <w:t>th</w:t>
      </w:r>
      <w:r w:rsidRPr="00DD3983" w:rsidR="003861DA">
        <w:rPr>
          <w:rFonts w:ascii="Arial" w:hAnsi="Arial" w:cs="Arial"/>
          <w:color w:val="000000" w:themeColor="text1"/>
          <w:sz w:val="22"/>
          <w:szCs w:val="22"/>
        </w:rPr>
        <w:t xml:space="preserve"> single greatest cause of death globally</w:t>
      </w:r>
      <w:r w:rsidR="008126D0">
        <w:rPr>
          <w:rFonts w:ascii="Arial" w:hAnsi="Arial" w:cs="Arial"/>
          <w:color w:val="000000" w:themeColor="text1"/>
          <w:sz w:val="22"/>
          <w:szCs w:val="22"/>
        </w:rPr>
        <w:t>.</w:t>
      </w:r>
      <w:r w:rsidR="00CB5369">
        <w:rPr>
          <w:rFonts w:ascii="Arial" w:hAnsi="Arial" w:cs="Arial"/>
          <w:color w:val="000000" w:themeColor="text1"/>
          <w:sz w:val="22"/>
          <w:szCs w:val="22"/>
        </w:rPr>
        <w:fldChar w:fldCharType="begin"/>
      </w:r>
      <w:r w:rsidR="00025355">
        <w:rPr>
          <w:rFonts w:ascii="Arial" w:hAnsi="Arial" w:cs="Arial"/>
          <w:color w:val="000000" w:themeColor="text1"/>
          <w:sz w:val="22"/>
          <w:szCs w:val="22"/>
        </w:rPr>
        <w:instrText xml:space="preserve"> ADDIN ZOTERO_ITEM CSL_CITATION {"citationID":"oIcK8csY","properties":{"formattedCitation":"\\super 14\\nosupersub{}","plainCitation":"14","noteIndex":0},"citationItems":[{"id":"7XVybpWP/oscF2593","uris":["http://zotero.org/users/14808070/items/GQS7CEVW"],"itemData":{"id":1089,"type":"webpage","abstract":"WHO fact sheet on dementia providing key facts and information on signs and symptoms, rates, risk factors, social and economic impacts, human rights, WHO response.","language":"en","title":"World Health Organization [WHO]","URL":"https://www.who.int/news-room/fact-sheets/detail/dementia","author":[{"family":"World Health Organization","given":""}],"accessed":{"date-parts":[["2025",3,24]]},"issued":{"date-parts":[["2023"]]}}}],"schema":"https://github.com/citation-style-language/schema/raw/master/csl-citation.json"} </w:instrText>
      </w:r>
      <w:r w:rsidR="00CB5369">
        <w:rPr>
          <w:rFonts w:ascii="Arial" w:hAnsi="Arial" w:cs="Arial"/>
          <w:color w:val="000000" w:themeColor="text1"/>
          <w:sz w:val="22"/>
          <w:szCs w:val="22"/>
        </w:rPr>
        <w:fldChar w:fldCharType="separate"/>
      </w:r>
      <w:r w:rsidRPr="00025355" w:rsidR="00025355">
        <w:rPr>
          <w:rFonts w:ascii="Arial" w:hAnsi="Arial" w:cs="Arial"/>
          <w:kern w:val="0"/>
          <w:sz w:val="22"/>
          <w:vertAlign w:val="superscript"/>
        </w:rPr>
        <w:t>14</w:t>
      </w:r>
      <w:r w:rsidR="00CB5369">
        <w:rPr>
          <w:rFonts w:ascii="Arial" w:hAnsi="Arial" w:cs="Arial"/>
          <w:color w:val="000000" w:themeColor="text1"/>
          <w:sz w:val="22"/>
          <w:szCs w:val="22"/>
        </w:rPr>
        <w:fldChar w:fldCharType="end"/>
      </w:r>
    </w:p>
    <w:p w:rsidRPr="00DD3983" w:rsidR="00C0454E" w:rsidP="006618CC" w:rsidRDefault="005D546C" w14:paraId="5405A031" w14:textId="03EB4D34">
      <w:pPr>
        <w:jc w:val="both"/>
        <w:rPr>
          <w:rFonts w:ascii="Arial" w:hAnsi="Arial" w:cs="Arial"/>
          <w:color w:val="000000" w:themeColor="text1"/>
          <w:sz w:val="22"/>
          <w:szCs w:val="22"/>
        </w:rPr>
      </w:pPr>
      <w:r w:rsidRPr="00DD3983">
        <w:rPr>
          <w:rFonts w:ascii="Arial" w:hAnsi="Arial" w:cs="Arial"/>
          <w:color w:val="000000" w:themeColor="text1"/>
          <w:sz w:val="22"/>
          <w:szCs w:val="22"/>
        </w:rPr>
        <w:t xml:space="preserve">AD </w:t>
      </w:r>
      <w:r w:rsidRPr="00DD3983" w:rsidR="008F311D">
        <w:rPr>
          <w:rFonts w:ascii="Arial" w:hAnsi="Arial" w:cs="Arial"/>
          <w:color w:val="000000" w:themeColor="text1"/>
          <w:sz w:val="22"/>
          <w:szCs w:val="22"/>
        </w:rPr>
        <w:t>is relentlessly complex</w:t>
      </w:r>
      <w:r w:rsidRPr="00DD3983">
        <w:rPr>
          <w:rFonts w:ascii="Arial" w:hAnsi="Arial" w:cs="Arial"/>
          <w:color w:val="000000" w:themeColor="text1"/>
          <w:sz w:val="22"/>
          <w:szCs w:val="22"/>
        </w:rPr>
        <w:t xml:space="preserve"> </w:t>
      </w:r>
      <w:r w:rsidRPr="00DD3983" w:rsidR="001336FD">
        <w:rPr>
          <w:rFonts w:ascii="Arial" w:hAnsi="Arial" w:cs="Arial"/>
          <w:color w:val="000000" w:themeColor="text1"/>
          <w:sz w:val="22"/>
          <w:szCs w:val="22"/>
        </w:rPr>
        <w:t xml:space="preserve">and </w:t>
      </w:r>
      <w:r w:rsidRPr="00DD3983" w:rsidR="00FA03D6">
        <w:rPr>
          <w:rFonts w:ascii="Arial" w:hAnsi="Arial" w:cs="Arial"/>
          <w:color w:val="000000" w:themeColor="text1"/>
          <w:sz w:val="22"/>
          <w:szCs w:val="22"/>
        </w:rPr>
        <w:t>has represented one of the most difficult challenges in modern health care</w:t>
      </w:r>
      <w:r w:rsidRPr="00DD3983" w:rsidR="00C3104A">
        <w:rPr>
          <w:rFonts w:ascii="Arial" w:hAnsi="Arial" w:cs="Arial"/>
          <w:color w:val="000000" w:themeColor="text1"/>
          <w:sz w:val="22"/>
          <w:szCs w:val="22"/>
        </w:rPr>
        <w:t xml:space="preserve"> s</w:t>
      </w:r>
      <w:r w:rsidRPr="00DD3983" w:rsidR="00C0454E">
        <w:rPr>
          <w:rFonts w:ascii="Arial" w:hAnsi="Arial" w:cs="Arial"/>
          <w:color w:val="000000" w:themeColor="text1"/>
          <w:sz w:val="22"/>
          <w:szCs w:val="22"/>
        </w:rPr>
        <w:t>ince its first postmortem classification by Alois Alzheimer</w:t>
      </w:r>
      <w:r w:rsidRPr="00DD3983" w:rsidR="00367561">
        <w:rPr>
          <w:rFonts w:ascii="Arial" w:hAnsi="Arial" w:cs="Arial"/>
          <w:color w:val="000000" w:themeColor="text1"/>
          <w:sz w:val="22"/>
          <w:szCs w:val="22"/>
        </w:rPr>
        <w:t xml:space="preserve"> in 1906</w:t>
      </w:r>
      <w:r w:rsidR="008126D0">
        <w:rPr>
          <w:rFonts w:ascii="Arial" w:hAnsi="Arial" w:cs="Arial"/>
          <w:color w:val="000000" w:themeColor="text1"/>
          <w:sz w:val="22"/>
          <w:szCs w:val="22"/>
        </w:rPr>
        <w:t>.</w:t>
      </w:r>
      <w:r w:rsidRPr="00DD3983" w:rsidR="00D73AD0">
        <w:rPr>
          <w:rFonts w:ascii="Arial" w:hAnsi="Arial" w:cs="Arial"/>
          <w:color w:val="000000" w:themeColor="text1"/>
          <w:sz w:val="22"/>
          <w:szCs w:val="22"/>
        </w:rPr>
        <w:fldChar w:fldCharType="begin"/>
      </w:r>
      <w:r w:rsidR="00025355">
        <w:rPr>
          <w:rFonts w:ascii="Arial" w:hAnsi="Arial" w:cs="Arial"/>
          <w:color w:val="000000" w:themeColor="text1"/>
          <w:sz w:val="22"/>
          <w:szCs w:val="22"/>
        </w:rPr>
        <w:instrText xml:space="preserve"> ADDIN ZOTERO_ITEM CSL_CITATION {"citationID":"vhkOkSC8","properties":{"formattedCitation":"\\super 21\\nosupersub{}","plainCitation":"21","noteIndex":0},"citationItems":[{"id":1964,"uris":["http://zotero.org/users/10927406/items/B3JHVYES"],"itemData":{"id":1964,"type":"article-journal","abstract":"On November 3, 1906, a clinical psychiatrist and neuroanatomist, Alois Alzheimer, reported “A peculiar severe disease process of the cerebral cortex” to the 37th Meeting of South-West German Psychiatrists in Tubingen, He described a 50-year-old woman whom he had followed from her admission for paranoia, progressive sleep and memory disturbance, aggression, and confusion, until her death 5 years later. His report noted distinctive plaques and neurofibrillary tangles in the brain histology. It excited little interest despite an enthusiastic response from Kraepelin, who promptly included “Alzheimer's disease” in the 3ih edition of his text Psychiatrie in 1910. Alzheimer published three further cases in 1909 and a “plaque-only” variant in 1911, which reexamination of the original specimens in 1993 showed to be a different stage of the same process, Alzheimer died in 1915, aged 51, soon after gaining the chair of psychiatry in Breslau, and long before his name became a household word.","container-title":"Dialogues in Clinical Neuroscience","ISSN":"1294-8322","issue":"1","journalAbbreviation":"Dialogues Clin Neurosci","note":"PMID: 22034141\nPMCID: PMC3181715","page":"101-108","source":"PubMed Central","title":"The discovery of Alzheimer's disease","volume":"5","author":[{"family":"Hippius","given":"Hanns"},{"family":"Neundörfer","given":"Gabriele"}],"issued":{"date-parts":[["2003",3]]}}}],"schema":"https://github.com/citation-style-language/schema/raw/master/csl-citation.json"} </w:instrText>
      </w:r>
      <w:r w:rsidRPr="00DD3983" w:rsidR="00D73AD0">
        <w:rPr>
          <w:rFonts w:ascii="Arial" w:hAnsi="Arial" w:cs="Arial"/>
          <w:color w:val="000000" w:themeColor="text1"/>
          <w:sz w:val="22"/>
          <w:szCs w:val="22"/>
        </w:rPr>
        <w:fldChar w:fldCharType="separate"/>
      </w:r>
      <w:r w:rsidRPr="00025355" w:rsidR="00025355">
        <w:rPr>
          <w:rFonts w:ascii="Arial" w:hAnsi="Arial" w:cs="Arial"/>
          <w:kern w:val="0"/>
          <w:sz w:val="22"/>
          <w:vertAlign w:val="superscript"/>
        </w:rPr>
        <w:t>21</w:t>
      </w:r>
      <w:r w:rsidRPr="00DD3983" w:rsidR="00D73AD0">
        <w:rPr>
          <w:rFonts w:ascii="Arial" w:hAnsi="Arial" w:cs="Arial"/>
          <w:color w:val="000000" w:themeColor="text1"/>
          <w:sz w:val="22"/>
          <w:szCs w:val="22"/>
        </w:rPr>
        <w:fldChar w:fldCharType="end"/>
      </w:r>
      <w:r w:rsidRPr="00DD3983" w:rsidR="00C0454E">
        <w:rPr>
          <w:rFonts w:ascii="Arial" w:hAnsi="Arial" w:cs="Arial"/>
          <w:color w:val="000000" w:themeColor="text1"/>
          <w:sz w:val="22"/>
          <w:szCs w:val="22"/>
        </w:rPr>
        <w:t xml:space="preserve"> </w:t>
      </w:r>
      <w:r w:rsidRPr="00DD3983" w:rsidR="00090C4D">
        <w:rPr>
          <w:rFonts w:ascii="Arial" w:hAnsi="Arial" w:cs="Arial"/>
          <w:iCs/>
          <w:color w:val="000000" w:themeColor="text1"/>
          <w:sz w:val="22"/>
          <w:szCs w:val="22"/>
        </w:rPr>
        <w:t>Although o</w:t>
      </w:r>
      <w:r w:rsidRPr="00DD3983" w:rsidR="00C0454E">
        <w:rPr>
          <w:rFonts w:ascii="Arial" w:hAnsi="Arial" w:cs="Arial"/>
          <w:iCs/>
          <w:color w:val="000000" w:themeColor="text1"/>
          <w:sz w:val="22"/>
          <w:szCs w:val="22"/>
        </w:rPr>
        <w:t>ptimism is important when approaching an issue of this magnitude</w:t>
      </w:r>
      <w:r w:rsidRPr="00DD3983" w:rsidR="00090C4D">
        <w:rPr>
          <w:rFonts w:ascii="Arial" w:hAnsi="Arial" w:cs="Arial"/>
          <w:iCs/>
          <w:color w:val="000000" w:themeColor="text1"/>
          <w:sz w:val="22"/>
          <w:szCs w:val="22"/>
        </w:rPr>
        <w:t>,</w:t>
      </w:r>
      <w:r w:rsidRPr="00DD3983" w:rsidR="00C0454E">
        <w:rPr>
          <w:rFonts w:ascii="Arial" w:hAnsi="Arial" w:cs="Arial"/>
          <w:iCs/>
          <w:color w:val="000000" w:themeColor="text1"/>
          <w:sz w:val="22"/>
          <w:szCs w:val="22"/>
        </w:rPr>
        <w:t xml:space="preserve"> it is necessary to highlight that AD remains an incurable disease with an unknown etiology</w:t>
      </w:r>
      <w:r w:rsidR="007B4FD3">
        <w:rPr>
          <w:rFonts w:ascii="Arial" w:hAnsi="Arial" w:cs="Arial"/>
          <w:iCs/>
          <w:color w:val="000000" w:themeColor="text1"/>
          <w:sz w:val="22"/>
          <w:szCs w:val="22"/>
        </w:rPr>
        <w:t>.</w:t>
      </w:r>
      <w:r w:rsidRPr="00DD3983" w:rsidR="00A550C5">
        <w:rPr>
          <w:rFonts w:ascii="Arial" w:hAnsi="Arial" w:cs="Arial"/>
          <w:iCs/>
          <w:color w:val="000000" w:themeColor="text1"/>
          <w:sz w:val="22"/>
          <w:szCs w:val="22"/>
        </w:rPr>
        <w:fldChar w:fldCharType="begin"/>
      </w:r>
      <w:r w:rsidR="00025355">
        <w:rPr>
          <w:rFonts w:ascii="Arial" w:hAnsi="Arial" w:cs="Arial"/>
          <w:iCs/>
          <w:color w:val="000000" w:themeColor="text1"/>
          <w:sz w:val="22"/>
          <w:szCs w:val="22"/>
        </w:rPr>
        <w:instrText xml:space="preserve"> ADDIN ZOTERO_ITEM CSL_CITATION {"citationID":"6ctP4GsB","properties":{"formattedCitation":"\\super 22\\nosupersub{}","plainCitation":"22","noteIndex":0},"citationItems":[{"id":1963,"uris":["http://zotero.org/users/10927406/items/9GWP3QQ4"],"itemData":{"id":1963,"type":"article-journal","abstract":"Alzheimer’s disease (AD) is a disorder that causes degeneration of the cells in the brain and it is the main cause of dementia, which is characterized by a decline in thinking and independence in personal daily activities. AD is considered a multifactorial disease: two main hypotheses were proposed as a cause for AD, cholinergic and amyloid hypotheses. Additionally, several risk factors such as increasing age, genetic factors, head injuries, vascular diseases, infections, and environmental factors play a role in the disease. Currently, there are only two classes of approved drugs to treat AD, including inhibitors to cholinesterase enzyme and antagonists to N-methyl d-aspartate (NMDA), which are effective only in treating the symptoms of AD, but do not cure or prevent the disease. Nowadays, the research is focusing on understanding AD pathology by targeting several mechanisms, such as abnormal tau protein metabolism, β-amyloid, inflammatory response, and cholinergic and free radical damage, aiming to develop successful treatments that are capable of stopping or modifying the course of AD. This review discusses currently available drugs and future theories for the development of new therapies for AD, such as disease-modifying therapeutics (DMT), chaperones, and natural compounds.","container-title":"Molecules","DOI":"10.3390/molecules25245789","ISSN":"1420-3049","issue":"24","journalAbbreviation":"Molecules","note":"PMID: 33302541\nPMCID: PMC7764106","page":"5789","source":"PubMed Central","title":"Comprehensive Review on Alzheimer’s Disease: Causes and Treatment","title-short":"Comprehensive Review on Alzheimer’s Disease","volume":"25","author":[{"family":"Breijyeh","given":"Zeinab"},{"family":"Karaman","given":"Rafik"}],"issued":{"date-parts":[["2020",12,8]]}}}],"schema":"https://github.com/citation-style-language/schema/raw/master/csl-citation.json"} </w:instrText>
      </w:r>
      <w:r w:rsidRPr="00DD3983" w:rsidR="00A550C5">
        <w:rPr>
          <w:rFonts w:ascii="Arial" w:hAnsi="Arial" w:cs="Arial"/>
          <w:iCs/>
          <w:color w:val="000000" w:themeColor="text1"/>
          <w:sz w:val="22"/>
          <w:szCs w:val="22"/>
        </w:rPr>
        <w:fldChar w:fldCharType="separate"/>
      </w:r>
      <w:r w:rsidRPr="00025355" w:rsidR="00025355">
        <w:rPr>
          <w:rFonts w:ascii="Arial" w:hAnsi="Arial" w:cs="Arial"/>
          <w:kern w:val="0"/>
          <w:sz w:val="22"/>
          <w:vertAlign w:val="superscript"/>
        </w:rPr>
        <w:t>22</w:t>
      </w:r>
      <w:r w:rsidRPr="00DD3983" w:rsidR="00A550C5">
        <w:rPr>
          <w:rFonts w:ascii="Arial" w:hAnsi="Arial" w:cs="Arial"/>
          <w:iCs/>
          <w:color w:val="000000" w:themeColor="text1"/>
          <w:sz w:val="22"/>
          <w:szCs w:val="22"/>
        </w:rPr>
        <w:fldChar w:fldCharType="end"/>
      </w:r>
      <w:r w:rsidRPr="00DD3983" w:rsidR="00C0454E">
        <w:rPr>
          <w:rFonts w:ascii="Arial" w:hAnsi="Arial" w:cs="Arial"/>
          <w:color w:val="000000" w:themeColor="text1"/>
          <w:sz w:val="22"/>
          <w:szCs w:val="22"/>
        </w:rPr>
        <w:t xml:space="preserve"> </w:t>
      </w:r>
      <w:r w:rsidRPr="00DD3983" w:rsidR="006D4F26">
        <w:rPr>
          <w:rFonts w:ascii="Arial" w:hAnsi="Arial" w:cs="Arial"/>
          <w:color w:val="000000" w:themeColor="text1"/>
          <w:sz w:val="22"/>
          <w:szCs w:val="22"/>
        </w:rPr>
        <w:t>This complexity is rooted in</w:t>
      </w:r>
      <w:r w:rsidRPr="00DD3983" w:rsidR="00E200FE">
        <w:rPr>
          <w:rFonts w:ascii="Arial" w:hAnsi="Arial" w:cs="Arial"/>
          <w:color w:val="000000" w:themeColor="text1"/>
          <w:sz w:val="22"/>
          <w:szCs w:val="22"/>
        </w:rPr>
        <w:t xml:space="preserve"> multidimensional </w:t>
      </w:r>
      <w:r w:rsidRPr="00DD3983" w:rsidR="00C0454E">
        <w:rPr>
          <w:rFonts w:ascii="Arial" w:hAnsi="Arial" w:cs="Arial"/>
          <w:color w:val="000000" w:themeColor="text1"/>
          <w:sz w:val="22"/>
          <w:szCs w:val="22"/>
        </w:rPr>
        <w:t xml:space="preserve">societal </w:t>
      </w:r>
      <w:r w:rsidRPr="00DD3983" w:rsidR="00E200FE">
        <w:rPr>
          <w:rFonts w:ascii="Arial" w:hAnsi="Arial" w:cs="Arial"/>
          <w:color w:val="000000" w:themeColor="text1"/>
          <w:sz w:val="22"/>
          <w:szCs w:val="22"/>
        </w:rPr>
        <w:t>challenges characterized</w:t>
      </w:r>
      <w:r w:rsidRPr="00DD3983" w:rsidR="00C0454E">
        <w:rPr>
          <w:rFonts w:ascii="Arial" w:hAnsi="Arial" w:cs="Arial"/>
          <w:color w:val="000000" w:themeColor="text1"/>
          <w:sz w:val="22"/>
          <w:szCs w:val="22"/>
        </w:rPr>
        <w:t xml:space="preserve"> by intricate interdependencies, incomplete </w:t>
      </w:r>
      <w:r w:rsidRPr="00DD3983" w:rsidR="00E200FE">
        <w:rPr>
          <w:rFonts w:ascii="Arial" w:hAnsi="Arial" w:cs="Arial"/>
          <w:color w:val="000000" w:themeColor="text1"/>
          <w:sz w:val="22"/>
          <w:szCs w:val="22"/>
        </w:rPr>
        <w:t>scientific understanding</w:t>
      </w:r>
      <w:r w:rsidRPr="00DD3983" w:rsidR="0086226B">
        <w:rPr>
          <w:rFonts w:ascii="Arial" w:hAnsi="Arial" w:cs="Arial"/>
          <w:color w:val="000000" w:themeColor="text1"/>
          <w:sz w:val="22"/>
          <w:szCs w:val="22"/>
        </w:rPr>
        <w:t>s</w:t>
      </w:r>
      <w:r w:rsidRPr="00DD3983" w:rsidR="00C0454E">
        <w:rPr>
          <w:rFonts w:ascii="Arial" w:hAnsi="Arial" w:cs="Arial"/>
          <w:color w:val="000000" w:themeColor="text1"/>
          <w:sz w:val="22"/>
          <w:szCs w:val="22"/>
        </w:rPr>
        <w:t xml:space="preserve">, and a constantly evolving </w:t>
      </w:r>
      <w:r w:rsidRPr="00DD3983" w:rsidR="00C141D6">
        <w:rPr>
          <w:rFonts w:ascii="Arial" w:hAnsi="Arial" w:cs="Arial"/>
          <w:color w:val="000000" w:themeColor="text1"/>
          <w:sz w:val="22"/>
          <w:szCs w:val="22"/>
        </w:rPr>
        <w:t>treatment and diagnostic</w:t>
      </w:r>
      <w:r w:rsidRPr="00DD3983" w:rsidR="00E200FE">
        <w:rPr>
          <w:rFonts w:ascii="Arial" w:hAnsi="Arial" w:cs="Arial"/>
          <w:color w:val="000000" w:themeColor="text1"/>
          <w:sz w:val="22"/>
          <w:szCs w:val="22"/>
        </w:rPr>
        <w:t xml:space="preserve"> </w:t>
      </w:r>
      <w:r w:rsidRPr="00DD3983" w:rsidR="00C0454E">
        <w:rPr>
          <w:rFonts w:ascii="Arial" w:hAnsi="Arial" w:cs="Arial"/>
          <w:color w:val="000000" w:themeColor="text1"/>
          <w:sz w:val="22"/>
          <w:szCs w:val="22"/>
        </w:rPr>
        <w:t xml:space="preserve">landscape that </w:t>
      </w:r>
      <w:r w:rsidRPr="00DD3983" w:rsidR="00AE5039">
        <w:rPr>
          <w:rFonts w:ascii="Arial" w:hAnsi="Arial" w:cs="Arial"/>
          <w:color w:val="000000" w:themeColor="text1"/>
          <w:sz w:val="22"/>
          <w:szCs w:val="22"/>
        </w:rPr>
        <w:t>has</w:t>
      </w:r>
      <w:r w:rsidRPr="00DD3983" w:rsidR="00C0454E">
        <w:rPr>
          <w:rFonts w:ascii="Arial" w:hAnsi="Arial" w:cs="Arial"/>
          <w:color w:val="000000" w:themeColor="text1"/>
          <w:sz w:val="22"/>
          <w:szCs w:val="22"/>
        </w:rPr>
        <w:t xml:space="preserve"> </w:t>
      </w:r>
      <w:r w:rsidRPr="00DD3983" w:rsidR="00E200FE">
        <w:rPr>
          <w:rFonts w:ascii="Arial" w:hAnsi="Arial" w:cs="Arial"/>
          <w:color w:val="000000" w:themeColor="text1"/>
          <w:sz w:val="22"/>
          <w:szCs w:val="22"/>
        </w:rPr>
        <w:t xml:space="preserve">persistently </w:t>
      </w:r>
      <w:r w:rsidRPr="00DD3983" w:rsidR="00C0454E">
        <w:rPr>
          <w:rFonts w:ascii="Arial" w:hAnsi="Arial" w:cs="Arial"/>
          <w:color w:val="000000" w:themeColor="text1"/>
          <w:sz w:val="22"/>
          <w:szCs w:val="22"/>
        </w:rPr>
        <w:t>resist</w:t>
      </w:r>
      <w:r w:rsidRPr="00DD3983" w:rsidR="00AE5039">
        <w:rPr>
          <w:rFonts w:ascii="Arial" w:hAnsi="Arial" w:cs="Arial"/>
          <w:color w:val="000000" w:themeColor="text1"/>
          <w:sz w:val="22"/>
          <w:szCs w:val="22"/>
        </w:rPr>
        <w:t>ed</w:t>
      </w:r>
      <w:r w:rsidRPr="00DD3983" w:rsidR="00C0454E">
        <w:rPr>
          <w:rFonts w:ascii="Arial" w:hAnsi="Arial" w:cs="Arial"/>
          <w:color w:val="000000" w:themeColor="text1"/>
          <w:sz w:val="22"/>
          <w:szCs w:val="22"/>
        </w:rPr>
        <w:t xml:space="preserve"> </w:t>
      </w:r>
      <w:r w:rsidRPr="00DD3983" w:rsidR="00E200FE">
        <w:rPr>
          <w:rFonts w:ascii="Arial" w:hAnsi="Arial" w:cs="Arial"/>
          <w:color w:val="000000" w:themeColor="text1"/>
          <w:sz w:val="22"/>
          <w:szCs w:val="22"/>
        </w:rPr>
        <w:t>conventional</w:t>
      </w:r>
      <w:r w:rsidRPr="00DD3983" w:rsidR="00C0454E">
        <w:rPr>
          <w:rFonts w:ascii="Arial" w:hAnsi="Arial" w:cs="Arial"/>
          <w:color w:val="000000" w:themeColor="text1"/>
          <w:sz w:val="22"/>
          <w:szCs w:val="22"/>
        </w:rPr>
        <w:t xml:space="preserve"> solutions.</w:t>
      </w:r>
      <w:r w:rsidRPr="00DD3983" w:rsidR="00D81CD2">
        <w:rPr>
          <w:rFonts w:ascii="Arial" w:hAnsi="Arial" w:cs="Arial"/>
          <w:color w:val="000000" w:themeColor="text1"/>
          <w:sz w:val="22"/>
          <w:szCs w:val="22"/>
        </w:rPr>
        <w:t xml:space="preserve"> To illustrate this,</w:t>
      </w:r>
      <w:r w:rsidRPr="00DD3983" w:rsidR="00C0454E">
        <w:rPr>
          <w:rFonts w:ascii="Arial" w:hAnsi="Arial" w:cs="Arial"/>
          <w:color w:val="000000" w:themeColor="text1"/>
          <w:sz w:val="22"/>
          <w:szCs w:val="22"/>
        </w:rPr>
        <w:t xml:space="preserve"> </w:t>
      </w:r>
      <w:r w:rsidRPr="00DD3983" w:rsidR="00D81CD2">
        <w:rPr>
          <w:rFonts w:ascii="Arial" w:hAnsi="Arial" w:cs="Arial"/>
          <w:color w:val="000000" w:themeColor="text1"/>
          <w:sz w:val="22"/>
          <w:szCs w:val="22"/>
        </w:rPr>
        <w:t>m</w:t>
      </w:r>
      <w:r w:rsidRPr="00DD3983" w:rsidR="0074491C">
        <w:rPr>
          <w:rFonts w:ascii="Arial" w:hAnsi="Arial" w:cs="Arial"/>
          <w:color w:val="000000" w:themeColor="text1"/>
          <w:sz w:val="22"/>
          <w:szCs w:val="22"/>
        </w:rPr>
        <w:t xml:space="preserve">ost developed countries are currently undergoing </w:t>
      </w:r>
      <w:r w:rsidRPr="00DD3983" w:rsidR="009B5E46">
        <w:rPr>
          <w:rFonts w:ascii="Arial" w:hAnsi="Arial" w:cs="Arial"/>
          <w:color w:val="000000" w:themeColor="text1"/>
          <w:sz w:val="22"/>
          <w:szCs w:val="22"/>
        </w:rPr>
        <w:t>a</w:t>
      </w:r>
      <w:r w:rsidRPr="00DD3983" w:rsidR="0074491C">
        <w:rPr>
          <w:rFonts w:ascii="Arial" w:hAnsi="Arial" w:cs="Arial"/>
          <w:color w:val="000000" w:themeColor="text1"/>
          <w:sz w:val="22"/>
          <w:szCs w:val="22"/>
        </w:rPr>
        <w:t xml:space="preserve"> significant demographic transition and have rapidly increasing aging populations </w:t>
      </w:r>
      <w:r w:rsidRPr="00DD3983" w:rsidR="00BE5E7B">
        <w:rPr>
          <w:rFonts w:ascii="Arial" w:hAnsi="Arial" w:cs="Arial"/>
          <w:color w:val="000000" w:themeColor="text1"/>
          <w:sz w:val="22"/>
          <w:szCs w:val="22"/>
        </w:rPr>
        <w:t>which</w:t>
      </w:r>
      <w:r w:rsidRPr="00DD3983" w:rsidR="0074491C">
        <w:rPr>
          <w:rFonts w:ascii="Arial" w:hAnsi="Arial" w:cs="Arial"/>
          <w:color w:val="000000" w:themeColor="text1"/>
          <w:sz w:val="22"/>
          <w:szCs w:val="22"/>
        </w:rPr>
        <w:t xml:space="preserve"> </w:t>
      </w:r>
      <w:r w:rsidRPr="00DD3983" w:rsidR="002F775F">
        <w:rPr>
          <w:rFonts w:ascii="Arial" w:hAnsi="Arial" w:cs="Arial"/>
          <w:color w:val="000000" w:themeColor="text1"/>
          <w:sz w:val="22"/>
          <w:szCs w:val="22"/>
        </w:rPr>
        <w:t xml:space="preserve">has </w:t>
      </w:r>
      <w:proofErr w:type="gramStart"/>
      <w:r w:rsidRPr="00DD3983" w:rsidR="002F775F">
        <w:rPr>
          <w:rFonts w:ascii="Arial" w:hAnsi="Arial" w:cs="Arial"/>
          <w:color w:val="000000" w:themeColor="text1"/>
          <w:sz w:val="22"/>
          <w:szCs w:val="22"/>
        </w:rPr>
        <w:t xml:space="preserve">been </w:t>
      </w:r>
      <w:r w:rsidRPr="00DD3983" w:rsidR="009B5E46">
        <w:rPr>
          <w:rFonts w:ascii="Arial" w:hAnsi="Arial" w:cs="Arial"/>
          <w:color w:val="000000" w:themeColor="text1"/>
          <w:sz w:val="22"/>
          <w:szCs w:val="22"/>
        </w:rPr>
        <w:t>identified</w:t>
      </w:r>
      <w:proofErr w:type="gramEnd"/>
      <w:r w:rsidRPr="00DD3983" w:rsidR="009B5E46">
        <w:rPr>
          <w:rFonts w:ascii="Arial" w:hAnsi="Arial" w:cs="Arial"/>
          <w:color w:val="000000" w:themeColor="text1"/>
          <w:sz w:val="22"/>
          <w:szCs w:val="22"/>
        </w:rPr>
        <w:t xml:space="preserve"> as</w:t>
      </w:r>
      <w:r w:rsidRPr="00DD3983" w:rsidR="007A7F65">
        <w:rPr>
          <w:rFonts w:ascii="Arial" w:hAnsi="Arial" w:cs="Arial"/>
          <w:color w:val="000000" w:themeColor="text1"/>
          <w:sz w:val="22"/>
          <w:szCs w:val="22"/>
        </w:rPr>
        <w:t xml:space="preserve"> </w:t>
      </w:r>
      <w:r w:rsidRPr="00DD3983" w:rsidR="002F775F">
        <w:rPr>
          <w:rFonts w:ascii="Arial" w:hAnsi="Arial" w:cs="Arial"/>
          <w:color w:val="000000" w:themeColor="text1"/>
          <w:sz w:val="22"/>
          <w:szCs w:val="22"/>
        </w:rPr>
        <w:t xml:space="preserve">a </w:t>
      </w:r>
      <w:r w:rsidRPr="00DD3983" w:rsidR="007A7F65">
        <w:rPr>
          <w:rFonts w:ascii="Arial" w:hAnsi="Arial" w:cs="Arial"/>
          <w:color w:val="000000" w:themeColor="text1"/>
          <w:sz w:val="22"/>
          <w:szCs w:val="22"/>
        </w:rPr>
        <w:t xml:space="preserve">primary driver </w:t>
      </w:r>
      <w:r w:rsidRPr="00DD3983" w:rsidR="00601286">
        <w:rPr>
          <w:rFonts w:ascii="Arial" w:hAnsi="Arial" w:cs="Arial"/>
          <w:color w:val="000000" w:themeColor="text1"/>
          <w:sz w:val="22"/>
          <w:szCs w:val="22"/>
        </w:rPr>
        <w:t xml:space="preserve">for the projected increase in AD prevalence. </w:t>
      </w:r>
      <w:r w:rsidRPr="00DD3983" w:rsidR="00990D8F">
        <w:rPr>
          <w:rFonts w:ascii="Arial" w:hAnsi="Arial" w:cs="Arial"/>
          <w:color w:val="000000" w:themeColor="text1"/>
          <w:sz w:val="22"/>
          <w:szCs w:val="22"/>
        </w:rPr>
        <w:t>What an aging population also indicates is a</w:t>
      </w:r>
      <w:r w:rsidRPr="00DD3983" w:rsidR="008C41BC">
        <w:rPr>
          <w:rFonts w:ascii="Arial" w:hAnsi="Arial" w:cs="Arial"/>
          <w:color w:val="000000" w:themeColor="text1"/>
          <w:sz w:val="22"/>
          <w:szCs w:val="22"/>
        </w:rPr>
        <w:t xml:space="preserve">n increased dependency ratio, where for every working age individual there will be more ‘dependent’ </w:t>
      </w:r>
      <w:r w:rsidRPr="00DD3983" w:rsidR="00C4354F">
        <w:rPr>
          <w:rFonts w:ascii="Arial" w:hAnsi="Arial" w:cs="Arial"/>
          <w:color w:val="000000" w:themeColor="text1"/>
          <w:sz w:val="22"/>
          <w:szCs w:val="22"/>
        </w:rPr>
        <w:t xml:space="preserve">older </w:t>
      </w:r>
      <w:r w:rsidRPr="00DD3983" w:rsidR="008C41BC">
        <w:rPr>
          <w:rFonts w:ascii="Arial" w:hAnsi="Arial" w:cs="Arial"/>
          <w:color w:val="000000" w:themeColor="text1"/>
          <w:sz w:val="22"/>
          <w:szCs w:val="22"/>
        </w:rPr>
        <w:t xml:space="preserve">adults which </w:t>
      </w:r>
      <w:r w:rsidRPr="00DD3983" w:rsidR="00A11DC9">
        <w:rPr>
          <w:rFonts w:ascii="Arial" w:hAnsi="Arial" w:cs="Arial"/>
          <w:color w:val="000000" w:themeColor="text1"/>
          <w:sz w:val="22"/>
          <w:szCs w:val="22"/>
        </w:rPr>
        <w:t>further exacerbates the impending healthcare burden</w:t>
      </w:r>
      <w:r w:rsidR="007B4FD3">
        <w:rPr>
          <w:rFonts w:ascii="Arial" w:hAnsi="Arial" w:cs="Arial"/>
          <w:color w:val="000000" w:themeColor="text1"/>
          <w:sz w:val="22"/>
          <w:szCs w:val="22"/>
        </w:rPr>
        <w:t>.</w:t>
      </w:r>
      <w:r w:rsidRPr="00DD3983" w:rsidR="00EC548D">
        <w:rPr>
          <w:rFonts w:ascii="Arial" w:hAnsi="Arial" w:cs="Arial"/>
          <w:color w:val="000000" w:themeColor="text1"/>
          <w:sz w:val="22"/>
          <w:szCs w:val="22"/>
        </w:rPr>
        <w:fldChar w:fldCharType="begin"/>
      </w:r>
      <w:r w:rsidR="00025355">
        <w:rPr>
          <w:rFonts w:ascii="Arial" w:hAnsi="Arial" w:cs="Arial"/>
          <w:color w:val="000000" w:themeColor="text1"/>
          <w:sz w:val="22"/>
          <w:szCs w:val="22"/>
        </w:rPr>
        <w:instrText xml:space="preserve"> ADDIN ZOTERO_ITEM CSL_CITATION {"citationID":"VjaxWhmc","properties":{"formattedCitation":"\\super 23,24\\nosupersub{}","plainCitation":"23,24","noteIndex":0},"citationItems":[{"id":1962,"uris":["http://zotero.org/users/10927406/items/T8XBR9Z6"],"itemData":{"id":1962,"type":"article-journal","abstract":"This article reviews measures of Alzheimer’s disease (AD) progression in relation to patient dependence and offers a unifying conceptual framework for dependence in AD. Clinicians typically characterize AD by symptomatic impairments in three domains: cognition, function, and behavior. From a patient’s perspective, changes in these domains, individually and in concert, ultimately lead to increased dependence and loss of autonomy. Examples of dependence in AD range from a need for reminders (early AD) to requiring safety supervision and assistance with basic functions (late AD). Published literature has focused on the clinical domains as somewhat separate constructs and has given limited attention to the concept of patient dependence as a descriptor of AD progression. This article presents the concept of dependence on others for care needs as a potential method for translating the effect of changes in cognition, function, and behavior into a more holistic, transparent description of AD progression.","container-title":"Alzheimer's &amp; dementia : the journal of the Alzheimer's Association","DOI":"10.1016/j.jalz.2009.09.004","ISSN":"1552-5260","issue":"6","journalAbbreviation":"Alzheimers Dement","note":"PMID: 21044778\nPMCID: PMC3884683","page":"10.1016/j.jalz.2009.09.004","source":"PubMed Central","title":"Dependence as a unifying construct in defining Alzheimer’s disease severity","volume":"6","author":[{"family":"McLaughlin","given":"Trent"},{"family":"Feldman","given":"Howard"},{"family":"Fillit","given":"Howard"},{"family":"Sano","given":"Mary"},{"family":"Schmitt","given":"Frederick"},{"family":"Aisen","given":"Paul"},{"family":"Leibman","given":"Christopher"},{"family":"Mucha","given":"Lisa"},{"family":"Ryan","given":"J. Michael"},{"family":"Sullivan","given":"Sean D."},{"family":"Spackman","given":"D. Eldon"},{"family":"Neumann","given":"Peter J."},{"family":"Cohen","given":"Joshua"},{"family":"Stern","given":"Yaakov"}],"issued":{"date-parts":[["2010",11]]}}},{"id":1961,"uris":["http://zotero.org/users/10927406/items/R99879YW"],"itemData":{"id":1961,"type":"article-journal","abstract":"Background\nThe old-age dependency ratio (OADR), which is the ratio of older people (aged ≥65 years) to working age people (aged 20–64 years), is the most common way to assess and compare the burden of population ageing in different countries. However, the relationship between chronological age and dependency varies widely across countries. We therefore present the health-adjusted dependency ratio (HADR), a new measure of ageing burden based on the ageing-related health of the adult population.\nMethods\nIn this population-based study we used health data for diseases and injuries for 2017 from the Global Burden of Disease project and population data for 2017 from the UN's Population Division to identify the number of adults (aged &gt;20 years) in each country who have the same or higher ageing-related disease burden as the global average 65-year-old. We then calculated the HADR as the ratio of adults who were less healthy than the average 65-year-old (dependent population) to those in better health (supporting population) and compared the HADR with the OADR for 188 countries. We also used cross-sectional, bivariate regression analysis to investigate whether the HADR is a more powerful predictor of changes in per capita health-care expenditure than the OADR as a measure of predictive validity.\nFindings\nMany demographically younger populations have an earlier onset of ageing-related disease, and many demographically older populations have a later onset. For instance, Pakistan has an OADR of 0·09 and an HADR of 0·19, and France has an OADR of 0·35 and an HADR of 0·13. Relative to the OADR, the HADR suggests that Asia, western Europe, and North America have a lower ageing burden, whereas central Asia, southern Asia, and Africa have a greater burden. While Japan and countries in western Europe have the highest OADR, Russia, Papua New Guinea, and countries in southeast Europe have the highest HADR. Relative to the OADR, the HADR suggests that there is much less variation in the burden of ageing across countries than has previously been assumed. HADR was also more closely associated with growth in health spending than the OADR. A 0·1 increase in the HADR was associated with a 2·9 percentage points larger growth rate in per capita spending (p=0·0001), and a 0·1-point increase in the OADR was associated with a 1·8 percentage point larger growth rate.\nInterpretation\nThe OADR probably overestimates the burden of population ageing in many demographically older countries and underestimates the ageing burden in many demographically younger countries, which implies that the challenges associated with ageing are more universal than previously thought, and that the world cannot easily be divided in a young and an old groups of nations.\nFunding\nNone","container-title":"The Lancet Healthy Longevity","DOI":"10.1016/S2666-7568(22)00075-7","ISSN":"2666-7568","issue":"5","journalAbbreviation":"The Lancet Healthy Longevity","page":"e332-e338","source":"ScienceDirect","title":"The health-adjusted dependency ratio as a new global measure of the burden of ageing: a population-based study","title-short":"The health-adjusted dependency ratio as a new global measure of the burden of ageing","volume":"3","author":[{"family":"Skirbekk","given":"Vegard"},{"family":"Dieleman","given":"Joseph L"},{"family":"Stonawski","given":"Marcin"},{"family":"Fejkiel","given":"Krystian"},{"family":"Tyrovolas","given":"Stefanos"},{"family":"Chang","given":"Angela Y"}],"issued":{"date-parts":[["2022",5,1]]}}}],"schema":"https://github.com/citation-style-language/schema/raw/master/csl-citation.json"} </w:instrText>
      </w:r>
      <w:r w:rsidRPr="00DD3983" w:rsidR="00EC548D">
        <w:rPr>
          <w:rFonts w:ascii="Arial" w:hAnsi="Arial" w:cs="Arial"/>
          <w:color w:val="000000" w:themeColor="text1"/>
          <w:sz w:val="22"/>
          <w:szCs w:val="22"/>
        </w:rPr>
        <w:fldChar w:fldCharType="separate"/>
      </w:r>
      <w:r w:rsidRPr="00025355" w:rsidR="00025355">
        <w:rPr>
          <w:rFonts w:ascii="Arial" w:hAnsi="Arial" w:cs="Arial"/>
          <w:kern w:val="0"/>
          <w:sz w:val="22"/>
          <w:vertAlign w:val="superscript"/>
        </w:rPr>
        <w:t>23,24</w:t>
      </w:r>
      <w:r w:rsidRPr="00DD3983" w:rsidR="00EC548D">
        <w:rPr>
          <w:rFonts w:ascii="Arial" w:hAnsi="Arial" w:cs="Arial"/>
          <w:color w:val="000000" w:themeColor="text1"/>
          <w:sz w:val="22"/>
          <w:szCs w:val="22"/>
        </w:rPr>
        <w:fldChar w:fldCharType="end"/>
      </w:r>
      <w:r w:rsidRPr="00DD3983" w:rsidR="00D9304D">
        <w:rPr>
          <w:rFonts w:ascii="Arial" w:hAnsi="Arial" w:cs="Arial"/>
          <w:color w:val="000000" w:themeColor="text1"/>
          <w:sz w:val="22"/>
          <w:szCs w:val="22"/>
        </w:rPr>
        <w:t xml:space="preserve"> </w:t>
      </w:r>
      <w:r w:rsidRPr="00DD3983" w:rsidR="002134DC">
        <w:rPr>
          <w:rFonts w:ascii="Arial" w:hAnsi="Arial" w:cs="Arial"/>
          <w:color w:val="000000" w:themeColor="text1"/>
          <w:sz w:val="22"/>
          <w:szCs w:val="22"/>
        </w:rPr>
        <w:t>Moreover, d</w:t>
      </w:r>
      <w:r w:rsidRPr="00DD3983" w:rsidR="00C0454E">
        <w:rPr>
          <w:rFonts w:ascii="Arial" w:hAnsi="Arial" w:cs="Arial"/>
          <w:color w:val="000000" w:themeColor="text1"/>
          <w:sz w:val="22"/>
          <w:szCs w:val="22"/>
        </w:rPr>
        <w:t xml:space="preserve">espite intensive research, billions of dollars invested, and over 400 clinical trials, AD research has yet to deliver effective therapies, </w:t>
      </w:r>
      <w:r w:rsidRPr="00DD3983" w:rsidR="00C06B04">
        <w:rPr>
          <w:rFonts w:ascii="Arial" w:hAnsi="Arial" w:cs="Arial"/>
          <w:color w:val="000000" w:themeColor="text1"/>
          <w:sz w:val="22"/>
          <w:szCs w:val="22"/>
        </w:rPr>
        <w:t>affirming</w:t>
      </w:r>
      <w:r w:rsidRPr="00DD3983" w:rsidR="00C0454E">
        <w:rPr>
          <w:rFonts w:ascii="Arial" w:hAnsi="Arial" w:cs="Arial"/>
          <w:color w:val="000000" w:themeColor="text1"/>
          <w:sz w:val="22"/>
          <w:szCs w:val="22"/>
        </w:rPr>
        <w:t xml:space="preserve"> concerns about the inefficiencies inherent in </w:t>
      </w:r>
      <w:r w:rsidRPr="00DD3983" w:rsidR="00F54C18">
        <w:rPr>
          <w:rFonts w:ascii="Arial" w:hAnsi="Arial" w:cs="Arial"/>
          <w:color w:val="000000" w:themeColor="text1"/>
          <w:sz w:val="22"/>
          <w:szCs w:val="22"/>
        </w:rPr>
        <w:t>existing</w:t>
      </w:r>
      <w:r w:rsidRPr="00DD3983" w:rsidR="00C0454E">
        <w:rPr>
          <w:rFonts w:ascii="Arial" w:hAnsi="Arial" w:cs="Arial"/>
          <w:color w:val="000000" w:themeColor="text1"/>
          <w:sz w:val="22"/>
          <w:szCs w:val="22"/>
        </w:rPr>
        <w:t xml:space="preserve"> treatment approaches</w:t>
      </w:r>
      <w:r w:rsidR="007B4FD3">
        <w:rPr>
          <w:rFonts w:ascii="Arial" w:hAnsi="Arial" w:cs="Arial"/>
          <w:color w:val="000000" w:themeColor="text1"/>
          <w:sz w:val="22"/>
          <w:szCs w:val="22"/>
        </w:rPr>
        <w:t>.</w:t>
      </w:r>
      <w:r w:rsidRPr="00DD3983" w:rsidR="00312485">
        <w:rPr>
          <w:rFonts w:ascii="Arial" w:hAnsi="Arial" w:cs="Arial"/>
          <w:color w:val="000000" w:themeColor="text1"/>
          <w:sz w:val="22"/>
          <w:szCs w:val="22"/>
        </w:rPr>
        <w:fldChar w:fldCharType="begin"/>
      </w:r>
      <w:r w:rsidR="00025355">
        <w:rPr>
          <w:rFonts w:ascii="Arial" w:hAnsi="Arial" w:cs="Arial"/>
          <w:color w:val="000000" w:themeColor="text1"/>
          <w:sz w:val="22"/>
          <w:szCs w:val="22"/>
        </w:rPr>
        <w:instrText xml:space="preserve"> ADDIN ZOTERO_ITEM CSL_CITATION {"citationID":"tIizp9of","properties":{"formattedCitation":"\\super 25\\nosupersub{}","plainCitation":"25","noteIndex":0},"citationItems":[{"id":2042,"uris":["http://zotero.org/users/10927406/items/BUWXQMXQ"],"itemData":{"id":2042,"type":"webpage","abstract":"NIA is currently supporting over 400 active clinical trials on Alzheimer's disease and dementia in many areas of research. See the comprehensive list.","container-title":"National Institute on Aging","language":"en","title":"NIA-Funded Active Alzheimer’s and Related Dementias Clinical Trials and Studies","URL":"https://www.nia.nih.gov/research/ongoing-AD-trials","author":[{"family":"National Institute on Aging","given":""}],"accessed":{"date-parts":[["2025",3,25]]}}}],"schema":"https://github.com/citation-style-language/schema/raw/master/csl-citation.json"} </w:instrText>
      </w:r>
      <w:r w:rsidRPr="00DD3983" w:rsidR="00312485">
        <w:rPr>
          <w:rFonts w:ascii="Arial" w:hAnsi="Arial" w:cs="Arial"/>
          <w:color w:val="000000" w:themeColor="text1"/>
          <w:sz w:val="22"/>
          <w:szCs w:val="22"/>
        </w:rPr>
        <w:fldChar w:fldCharType="separate"/>
      </w:r>
      <w:r w:rsidRPr="00025355" w:rsidR="00025355">
        <w:rPr>
          <w:rFonts w:ascii="Arial" w:hAnsi="Arial" w:cs="Arial"/>
          <w:kern w:val="0"/>
          <w:sz w:val="22"/>
          <w:vertAlign w:val="superscript"/>
        </w:rPr>
        <w:t>25</w:t>
      </w:r>
      <w:r w:rsidRPr="00DD3983" w:rsidR="00312485">
        <w:rPr>
          <w:rFonts w:ascii="Arial" w:hAnsi="Arial" w:cs="Arial"/>
          <w:color w:val="000000" w:themeColor="text1"/>
          <w:sz w:val="22"/>
          <w:szCs w:val="22"/>
        </w:rPr>
        <w:fldChar w:fldCharType="end"/>
      </w:r>
      <w:r w:rsidRPr="00DD3983" w:rsidR="00C0454E">
        <w:rPr>
          <w:rFonts w:ascii="Arial" w:hAnsi="Arial" w:cs="Arial"/>
          <w:color w:val="000000" w:themeColor="text1"/>
          <w:sz w:val="22"/>
          <w:szCs w:val="22"/>
        </w:rPr>
        <w:t xml:space="preserve"> </w:t>
      </w:r>
      <w:r w:rsidR="00562BF3">
        <w:rPr>
          <w:rFonts w:ascii="Arial" w:hAnsi="Arial" w:cs="Arial"/>
          <w:color w:val="000000" w:themeColor="text1"/>
          <w:sz w:val="22"/>
          <w:szCs w:val="22"/>
        </w:rPr>
        <w:t>As in</w:t>
      </w:r>
      <w:r w:rsidR="007B4A4D">
        <w:rPr>
          <w:rFonts w:ascii="Arial" w:hAnsi="Arial" w:cs="Arial"/>
          <w:color w:val="000000" w:themeColor="text1"/>
          <w:sz w:val="22"/>
          <w:szCs w:val="22"/>
        </w:rPr>
        <w:t xml:space="preserve">dicated by a </w:t>
      </w:r>
      <w:r w:rsidRPr="00DD3983" w:rsidR="00A342D5">
        <w:rPr>
          <w:rFonts w:ascii="Arial" w:hAnsi="Arial" w:cs="Arial"/>
          <w:color w:val="000000" w:themeColor="text1"/>
          <w:sz w:val="22"/>
          <w:szCs w:val="22"/>
        </w:rPr>
        <w:t>reported  99.6% failure rate of AD trials between 2002 and 2012</w:t>
      </w:r>
      <w:r w:rsidR="007B4A4D">
        <w:rPr>
          <w:rFonts w:ascii="Arial" w:hAnsi="Arial" w:cs="Arial"/>
          <w:color w:val="000000" w:themeColor="text1"/>
          <w:sz w:val="22"/>
          <w:szCs w:val="22"/>
        </w:rPr>
        <w:t>.</w:t>
      </w:r>
      <w:r w:rsidRPr="00DD3983" w:rsidR="0094366D">
        <w:rPr>
          <w:rFonts w:ascii="Arial" w:hAnsi="Arial" w:cs="Arial"/>
          <w:color w:val="000000" w:themeColor="text1"/>
          <w:sz w:val="22"/>
          <w:szCs w:val="22"/>
        </w:rPr>
        <w:fldChar w:fldCharType="begin"/>
      </w:r>
      <w:r w:rsidR="00025355">
        <w:rPr>
          <w:rFonts w:ascii="Arial" w:hAnsi="Arial" w:cs="Arial"/>
          <w:color w:val="000000" w:themeColor="text1"/>
          <w:sz w:val="22"/>
          <w:szCs w:val="22"/>
        </w:rPr>
        <w:instrText xml:space="preserve"> ADDIN ZOTERO_ITEM CSL_CITATION {"citationID":"Eo3PEKAQ","properties":{"formattedCitation":"\\super 26\\nosupersub{}","plainCitation":"26","noteIndex":0},"citationItems":[{"id":1968,"uris":["http://zotero.org/users/10927406/items/YVG297MR"],"itemData":{"id":1968,"type":"article-journal","abstract":"Alzheimer’s disease (AD) is increasing in frequency as the global population ages. Five drugs are approved for treatment of AD, including four cholinesterase inhibitors and an N-methyl-D-aspartate (NMDA)-receptor antagonist. We have an urgent need to find new therapies for AD.","container-title":"Alzheimer's Research &amp; Therapy","DOI":"10.1186/alzrt269","ISSN":"1758-9193","issue":"4","journalAbbreviation":"Alzheimer's Research &amp; Therapy","page":"37","source":"BioMed Central","title":"Alzheimer’s disease drug-development pipeline: few candidates, frequent failures","title-short":"Alzheimer’s disease drug-development pipeline","volume":"6","author":[{"family":"Cummings","given":"Jeffrey L."},{"family":"Morstorf","given":"Travis"},{"family":"Zhong","given":"Kate"}],"issued":{"date-parts":[["2014",7,3]]}}}],"schema":"https://github.com/citation-style-language/schema/raw/master/csl-citation.json"} </w:instrText>
      </w:r>
      <w:r w:rsidRPr="00DD3983" w:rsidR="0094366D">
        <w:rPr>
          <w:rFonts w:ascii="Arial" w:hAnsi="Arial" w:cs="Arial"/>
          <w:color w:val="000000" w:themeColor="text1"/>
          <w:sz w:val="22"/>
          <w:szCs w:val="22"/>
        </w:rPr>
        <w:fldChar w:fldCharType="separate"/>
      </w:r>
      <w:r w:rsidRPr="00025355" w:rsidR="00025355">
        <w:rPr>
          <w:rFonts w:ascii="Arial" w:hAnsi="Arial" w:cs="Arial"/>
          <w:kern w:val="0"/>
          <w:sz w:val="22"/>
          <w:vertAlign w:val="superscript"/>
        </w:rPr>
        <w:t>26</w:t>
      </w:r>
      <w:r w:rsidRPr="00DD3983" w:rsidR="0094366D">
        <w:rPr>
          <w:rFonts w:ascii="Arial" w:hAnsi="Arial" w:cs="Arial"/>
          <w:color w:val="000000" w:themeColor="text1"/>
          <w:sz w:val="22"/>
          <w:szCs w:val="22"/>
        </w:rPr>
        <w:fldChar w:fldCharType="end"/>
      </w:r>
      <w:r w:rsidRPr="00DD3983" w:rsidR="00A342D5">
        <w:rPr>
          <w:rFonts w:ascii="Arial" w:hAnsi="Arial" w:cs="Arial"/>
          <w:color w:val="000000" w:themeColor="text1"/>
          <w:sz w:val="22"/>
          <w:szCs w:val="22"/>
        </w:rPr>
        <w:t xml:space="preserve"> Of treatments that have </w:t>
      </w:r>
      <w:r w:rsidRPr="00DD3983" w:rsidR="008A7284">
        <w:rPr>
          <w:rFonts w:ascii="Arial" w:hAnsi="Arial" w:cs="Arial"/>
          <w:color w:val="000000" w:themeColor="text1"/>
          <w:sz w:val="22"/>
          <w:szCs w:val="22"/>
        </w:rPr>
        <w:t>successfully completed clinical trials such as</w:t>
      </w:r>
      <w:r w:rsidRPr="00DD3983" w:rsidR="00C0454E">
        <w:rPr>
          <w:rFonts w:ascii="Arial" w:hAnsi="Arial" w:cs="Arial"/>
          <w:color w:val="000000" w:themeColor="text1"/>
          <w:sz w:val="22"/>
          <w:szCs w:val="22"/>
        </w:rPr>
        <w:t xml:space="preserve"> </w:t>
      </w:r>
      <w:r w:rsidRPr="00DD3983" w:rsidR="00B675CF">
        <w:rPr>
          <w:rFonts w:ascii="Arial" w:hAnsi="Arial" w:cs="Arial"/>
          <w:color w:val="000000" w:themeColor="text1"/>
          <w:sz w:val="22"/>
          <w:szCs w:val="22"/>
        </w:rPr>
        <w:t xml:space="preserve">the </w:t>
      </w:r>
      <w:r w:rsidRPr="00DD3983" w:rsidR="000C7F1C">
        <w:rPr>
          <w:rFonts w:ascii="Arial" w:hAnsi="Arial" w:cs="Arial"/>
          <w:color w:val="000000" w:themeColor="text1"/>
          <w:sz w:val="22"/>
          <w:szCs w:val="22"/>
        </w:rPr>
        <w:t>recently</w:t>
      </w:r>
      <w:r w:rsidRPr="00DD3983" w:rsidR="00C0454E">
        <w:rPr>
          <w:rFonts w:ascii="Arial" w:hAnsi="Arial" w:cs="Arial"/>
          <w:color w:val="000000" w:themeColor="text1"/>
          <w:sz w:val="22"/>
          <w:szCs w:val="22"/>
        </w:rPr>
        <w:t xml:space="preserve"> approved monoclonal antibodies </w:t>
      </w:r>
      <w:r w:rsidRPr="00DD3983" w:rsidR="004C1E08">
        <w:rPr>
          <w:rFonts w:ascii="Arial" w:hAnsi="Arial" w:cs="Arial"/>
          <w:color w:val="000000" w:themeColor="text1"/>
          <w:sz w:val="22"/>
          <w:szCs w:val="22"/>
        </w:rPr>
        <w:t>including</w:t>
      </w:r>
      <w:r w:rsidRPr="00DD3983" w:rsidR="00C0454E">
        <w:rPr>
          <w:rFonts w:ascii="Arial" w:hAnsi="Arial" w:cs="Arial"/>
          <w:color w:val="000000" w:themeColor="text1"/>
          <w:sz w:val="22"/>
          <w:szCs w:val="22"/>
        </w:rPr>
        <w:t xml:space="preserve"> aducanumab have shown some ability to clear Aβ plaques, </w:t>
      </w:r>
      <w:r w:rsidRPr="00DD3983" w:rsidR="00BD77A4">
        <w:rPr>
          <w:rFonts w:ascii="Arial" w:hAnsi="Arial" w:cs="Arial"/>
          <w:color w:val="000000" w:themeColor="text1"/>
          <w:sz w:val="22"/>
          <w:szCs w:val="22"/>
        </w:rPr>
        <w:t xml:space="preserve">yet </w:t>
      </w:r>
      <w:r w:rsidRPr="00DD3983" w:rsidR="00C0454E">
        <w:rPr>
          <w:rFonts w:ascii="Arial" w:hAnsi="Arial" w:cs="Arial"/>
          <w:color w:val="000000" w:themeColor="text1"/>
          <w:sz w:val="22"/>
          <w:szCs w:val="22"/>
        </w:rPr>
        <w:t>they have proven controversial, fac</w:t>
      </w:r>
      <w:r w:rsidRPr="00DD3983" w:rsidR="004365B9">
        <w:rPr>
          <w:rFonts w:ascii="Arial" w:hAnsi="Arial" w:cs="Arial"/>
          <w:color w:val="000000" w:themeColor="text1"/>
          <w:sz w:val="22"/>
          <w:szCs w:val="22"/>
        </w:rPr>
        <w:t>ing</w:t>
      </w:r>
      <w:r w:rsidRPr="00DD3983" w:rsidR="00C0454E">
        <w:rPr>
          <w:rFonts w:ascii="Arial" w:hAnsi="Arial" w:cs="Arial"/>
          <w:color w:val="000000" w:themeColor="text1"/>
          <w:sz w:val="22"/>
          <w:szCs w:val="22"/>
        </w:rPr>
        <w:t xml:space="preserve"> market withdrawal in some regions due to limited clinical efficacy, and ultimately do little to halt the relentless neurodegeneration</w:t>
      </w:r>
      <w:r w:rsidR="00A13316">
        <w:rPr>
          <w:rFonts w:ascii="Arial" w:hAnsi="Arial" w:cs="Arial"/>
          <w:color w:val="000000" w:themeColor="text1"/>
          <w:sz w:val="22"/>
          <w:szCs w:val="22"/>
        </w:rPr>
        <w:t>.</w:t>
      </w:r>
      <w:r w:rsidRPr="00DD3983" w:rsidR="0083181D">
        <w:rPr>
          <w:rFonts w:ascii="Arial" w:hAnsi="Arial" w:cs="Arial"/>
          <w:color w:val="000000" w:themeColor="text1"/>
          <w:sz w:val="22"/>
          <w:szCs w:val="22"/>
        </w:rPr>
        <w:fldChar w:fldCharType="begin"/>
      </w:r>
      <w:r w:rsidR="00025355">
        <w:rPr>
          <w:rFonts w:ascii="Arial" w:hAnsi="Arial" w:cs="Arial"/>
          <w:color w:val="000000" w:themeColor="text1"/>
          <w:sz w:val="22"/>
          <w:szCs w:val="22"/>
        </w:rPr>
        <w:instrText xml:space="preserve"> ADDIN ZOTERO_ITEM CSL_CITATION {"citationID":"1XwF1ykG","properties":{"formattedCitation":"\\super 17\\nosupersub{}","plainCitation":"17","noteIndex":0},"citationItems":[{"id":1965,"uris":["http://zotero.org/users/10927406/items/ET3QIZFM"],"itemData":{"id":1965,"type":"article-journal","abstract":"This article describes the public health impact of Alzheimer's disease (AD), including prevalence and incidence, mortality and morbidity, use and costs of care and the ramifications of AD for family caregivers, the dementia workforce and society. The Special Report discusses the larger health care system for older adults with cognitive issues, focusing on the role of caregivers and non</w:instrText>
      </w:r>
      <w:r w:rsidR="00025355">
        <w:rPr>
          <w:rFonts w:ascii="Cambria Math" w:hAnsi="Cambria Math" w:cs="Cambria Math"/>
          <w:color w:val="000000" w:themeColor="text1"/>
          <w:sz w:val="22"/>
          <w:szCs w:val="22"/>
        </w:rPr>
        <w:instrText>‐</w:instrText>
      </w:r>
      <w:r w:rsidR="00025355">
        <w:rPr>
          <w:rFonts w:ascii="Arial" w:hAnsi="Arial" w:cs="Arial"/>
          <w:color w:val="000000" w:themeColor="text1"/>
          <w:sz w:val="22"/>
          <w:szCs w:val="22"/>
        </w:rPr>
        <w:instrText>physician health care professionals. An estimated 6.9 million Americans age 65 and older are living with Alzheimer's dementia today. This number could grow to 13.8 million by 2060, barring the development of medical breakthroughs to prevent or cure AD. Official AD death certificates recorded 119,399 deaths from AD in 2021. In 2020 and 2021, when COVID</w:instrText>
      </w:r>
      <w:r w:rsidR="00025355">
        <w:rPr>
          <w:rFonts w:ascii="Cambria Math" w:hAnsi="Cambria Math" w:cs="Cambria Math"/>
          <w:color w:val="000000" w:themeColor="text1"/>
          <w:sz w:val="22"/>
          <w:szCs w:val="22"/>
        </w:rPr>
        <w:instrText>‐</w:instrText>
      </w:r>
      <w:r w:rsidR="00025355">
        <w:rPr>
          <w:rFonts w:ascii="Arial" w:hAnsi="Arial" w:cs="Arial"/>
          <w:color w:val="000000" w:themeColor="text1"/>
          <w:sz w:val="22"/>
          <w:szCs w:val="22"/>
        </w:rPr>
        <w:instrText>19 entered the ranks of the top ten causes of death, Alzheimer's was the seventh</w:instrText>
      </w:r>
      <w:r w:rsidR="00025355">
        <w:rPr>
          <w:rFonts w:ascii="Cambria Math" w:hAnsi="Cambria Math" w:cs="Cambria Math"/>
          <w:color w:val="000000" w:themeColor="text1"/>
          <w:sz w:val="22"/>
          <w:szCs w:val="22"/>
        </w:rPr>
        <w:instrText>‐</w:instrText>
      </w:r>
      <w:r w:rsidR="00025355">
        <w:rPr>
          <w:rFonts w:ascii="Arial" w:hAnsi="Arial" w:cs="Arial"/>
          <w:color w:val="000000" w:themeColor="text1"/>
          <w:sz w:val="22"/>
          <w:szCs w:val="22"/>
        </w:rPr>
        <w:instrText>leading cause of death in the United States. Official counts for more recent years are still being compiled. Alzheimer's remains the fifth</w:instrText>
      </w:r>
      <w:r w:rsidR="00025355">
        <w:rPr>
          <w:rFonts w:ascii="Cambria Math" w:hAnsi="Cambria Math" w:cs="Cambria Math"/>
          <w:color w:val="000000" w:themeColor="text1"/>
          <w:sz w:val="22"/>
          <w:szCs w:val="22"/>
        </w:rPr>
        <w:instrText>‐</w:instrText>
      </w:r>
      <w:r w:rsidR="00025355">
        <w:rPr>
          <w:rFonts w:ascii="Arial" w:hAnsi="Arial" w:cs="Arial"/>
          <w:color w:val="000000" w:themeColor="text1"/>
          <w:sz w:val="22"/>
          <w:szCs w:val="22"/>
        </w:rPr>
        <w:instrText>leading cause of death among Americans age 65 and older. Between 2000 and 2021, deaths from stroke, heart disease and HIV decreased, whereas reported deaths from AD increased more than 140%. More than 11 million family members and other unpaid caregivers provided an estimated 18.4 billion hours of care to people with Alzheimer's or other dementias in 2023. These figures reflect a decline in the number of caregivers compared with a decade earlier, as well as an increase in the amount of care provided by each remaining caregiver. Unpaid dementia caregiving was valued at $346.6 billion in 2023. Its costs, however, extend to unpaid caregivers’ increased risk for emotional distress and negative mental and physical health outcomes. Members of the paid health care and broader community</w:instrText>
      </w:r>
      <w:r w:rsidR="00025355">
        <w:rPr>
          <w:rFonts w:ascii="Cambria Math" w:hAnsi="Cambria Math" w:cs="Cambria Math"/>
          <w:color w:val="000000" w:themeColor="text1"/>
          <w:sz w:val="22"/>
          <w:szCs w:val="22"/>
        </w:rPr>
        <w:instrText>‐</w:instrText>
      </w:r>
      <w:r w:rsidR="00025355">
        <w:rPr>
          <w:rFonts w:ascii="Arial" w:hAnsi="Arial" w:cs="Arial"/>
          <w:color w:val="000000" w:themeColor="text1"/>
          <w:sz w:val="22"/>
          <w:szCs w:val="22"/>
        </w:rPr>
        <w:instrText>based workforce are involved in diagnosing, treating and caring for people with dementia. However, the United States faces growing shortages across different segments of the dementia care workforce due to a combination of factors, including the absolute increase in the number of people living with dementia. Therefore, targeted programs and care delivery models will be needed to attract, better train and effectively deploy health care and community</w:instrText>
      </w:r>
      <w:r w:rsidR="00025355">
        <w:rPr>
          <w:rFonts w:ascii="Cambria Math" w:hAnsi="Cambria Math" w:cs="Cambria Math"/>
          <w:color w:val="000000" w:themeColor="text1"/>
          <w:sz w:val="22"/>
          <w:szCs w:val="22"/>
        </w:rPr>
        <w:instrText>‐</w:instrText>
      </w:r>
      <w:r w:rsidR="00025355">
        <w:rPr>
          <w:rFonts w:ascii="Arial" w:hAnsi="Arial" w:cs="Arial"/>
          <w:color w:val="000000" w:themeColor="text1"/>
          <w:sz w:val="22"/>
          <w:szCs w:val="22"/>
        </w:rPr>
        <w:instrText>based workers to provide dementia care. Average per</w:instrText>
      </w:r>
      <w:r w:rsidR="00025355">
        <w:rPr>
          <w:rFonts w:ascii="Cambria Math" w:hAnsi="Cambria Math" w:cs="Cambria Math"/>
          <w:color w:val="000000" w:themeColor="text1"/>
          <w:sz w:val="22"/>
          <w:szCs w:val="22"/>
        </w:rPr>
        <w:instrText>‐</w:instrText>
      </w:r>
      <w:r w:rsidR="00025355">
        <w:rPr>
          <w:rFonts w:ascii="Arial" w:hAnsi="Arial" w:cs="Arial"/>
          <w:color w:val="000000" w:themeColor="text1"/>
          <w:sz w:val="22"/>
          <w:szCs w:val="22"/>
        </w:rPr>
        <w:instrText>person Medicare payments for services to beneficiaries age 65 and older with AD or other dementias are almost three times as great as payments for beneficiaries without these conditions, and Medicaid payments are more than 22 times as great. Total payments in 2024 for health care, long</w:instrText>
      </w:r>
      <w:r w:rsidR="00025355">
        <w:rPr>
          <w:rFonts w:ascii="Cambria Math" w:hAnsi="Cambria Math" w:cs="Cambria Math"/>
          <w:color w:val="000000" w:themeColor="text1"/>
          <w:sz w:val="22"/>
          <w:szCs w:val="22"/>
        </w:rPr>
        <w:instrText>‐</w:instrText>
      </w:r>
      <w:r w:rsidR="00025355">
        <w:rPr>
          <w:rFonts w:ascii="Arial" w:hAnsi="Arial" w:cs="Arial"/>
          <w:color w:val="000000" w:themeColor="text1"/>
          <w:sz w:val="22"/>
          <w:szCs w:val="22"/>
        </w:rPr>
        <w:instrText>term care and hospice services for people age 65 and older with dementia are estimated to be $360 billion. The Special Report investigates how caregivers of older adults with cognitive issues interact with the health care system and examines the role non</w:instrText>
      </w:r>
      <w:r w:rsidR="00025355">
        <w:rPr>
          <w:rFonts w:ascii="Cambria Math" w:hAnsi="Cambria Math" w:cs="Cambria Math"/>
          <w:color w:val="000000" w:themeColor="text1"/>
          <w:sz w:val="22"/>
          <w:szCs w:val="22"/>
        </w:rPr>
        <w:instrText>‐</w:instrText>
      </w:r>
      <w:r w:rsidR="00025355">
        <w:rPr>
          <w:rFonts w:ascii="Arial" w:hAnsi="Arial" w:cs="Arial"/>
          <w:color w:val="000000" w:themeColor="text1"/>
          <w:sz w:val="22"/>
          <w:szCs w:val="22"/>
        </w:rPr>
        <w:instrText>physician health care professionals play in facilitating clinical care and access to community</w:instrText>
      </w:r>
      <w:r w:rsidR="00025355">
        <w:rPr>
          <w:rFonts w:ascii="Cambria Math" w:hAnsi="Cambria Math" w:cs="Cambria Math"/>
          <w:color w:val="000000" w:themeColor="text1"/>
          <w:sz w:val="22"/>
          <w:szCs w:val="22"/>
        </w:rPr>
        <w:instrText>‐</w:instrText>
      </w:r>
      <w:r w:rsidR="00025355">
        <w:rPr>
          <w:rFonts w:ascii="Arial" w:hAnsi="Arial" w:cs="Arial"/>
          <w:color w:val="000000" w:themeColor="text1"/>
          <w:sz w:val="22"/>
          <w:szCs w:val="22"/>
        </w:rPr>
        <w:instrText xml:space="preserve">based services and supports. It includes surveys of caregivers and health care workers, focusing on their experiences, challenges, awareness and perceptions of dementia care navigation.","container-title":"Alzheimer's &amp; Dementia","DOI":"10.1002/alz.13809","ISSN":"1552-5260","issue":"5","journalAbbreviation":"Alzheimers Dement","note":"PMID: 38689398\nPMCID: PMC11095490","page":"3708-3821","source":"PubMed Central","title":"2024 Alzheimer's disease facts and figures","volume":"20","issued":{"date-parts":[["2024",4,30]]}}}],"schema":"https://github.com/citation-style-language/schema/raw/master/csl-citation.json"} </w:instrText>
      </w:r>
      <w:r w:rsidRPr="00DD3983" w:rsidR="0083181D">
        <w:rPr>
          <w:rFonts w:ascii="Arial" w:hAnsi="Arial" w:cs="Arial"/>
          <w:color w:val="000000" w:themeColor="text1"/>
          <w:sz w:val="22"/>
          <w:szCs w:val="22"/>
        </w:rPr>
        <w:fldChar w:fldCharType="separate"/>
      </w:r>
      <w:r w:rsidRPr="00025355" w:rsidR="00025355">
        <w:rPr>
          <w:rFonts w:ascii="Arial" w:hAnsi="Arial" w:cs="Arial"/>
          <w:kern w:val="0"/>
          <w:sz w:val="22"/>
          <w:vertAlign w:val="superscript"/>
        </w:rPr>
        <w:t>17</w:t>
      </w:r>
      <w:r w:rsidRPr="00DD3983" w:rsidR="0083181D">
        <w:rPr>
          <w:rFonts w:ascii="Arial" w:hAnsi="Arial" w:cs="Arial"/>
          <w:color w:val="000000" w:themeColor="text1"/>
          <w:sz w:val="22"/>
          <w:szCs w:val="22"/>
        </w:rPr>
        <w:fldChar w:fldCharType="end"/>
      </w:r>
      <w:r w:rsidRPr="00DD3983" w:rsidR="00C0454E">
        <w:rPr>
          <w:rFonts w:ascii="Arial" w:hAnsi="Arial" w:cs="Arial"/>
          <w:color w:val="000000" w:themeColor="text1"/>
          <w:sz w:val="22"/>
          <w:szCs w:val="22"/>
        </w:rPr>
        <w:t xml:space="preserve"> </w:t>
      </w:r>
      <w:r w:rsidRPr="00DD3983" w:rsidR="005653E0">
        <w:rPr>
          <w:rFonts w:ascii="Arial" w:hAnsi="Arial" w:cs="Arial"/>
          <w:color w:val="000000" w:themeColor="text1"/>
          <w:sz w:val="22"/>
          <w:szCs w:val="22"/>
        </w:rPr>
        <w:t>Although</w:t>
      </w:r>
      <w:r w:rsidRPr="00DD3983" w:rsidR="00C0454E">
        <w:rPr>
          <w:rFonts w:ascii="Arial" w:hAnsi="Arial" w:cs="Arial"/>
          <w:color w:val="000000" w:themeColor="text1"/>
          <w:sz w:val="22"/>
          <w:szCs w:val="22"/>
        </w:rPr>
        <w:t xml:space="preserve"> this is not an exhaustive list of complexities associated with AD, these points highlight the urgent need to reconsider </w:t>
      </w:r>
      <w:r w:rsidRPr="00DD3983" w:rsidR="0095229A">
        <w:rPr>
          <w:rFonts w:ascii="Arial" w:hAnsi="Arial" w:cs="Arial"/>
          <w:color w:val="000000" w:themeColor="text1"/>
          <w:sz w:val="22"/>
          <w:szCs w:val="22"/>
        </w:rPr>
        <w:t>the current approach</w:t>
      </w:r>
      <w:r w:rsidRPr="00DD3983" w:rsidR="00C0454E">
        <w:rPr>
          <w:rFonts w:ascii="Arial" w:hAnsi="Arial" w:cs="Arial"/>
          <w:color w:val="000000" w:themeColor="text1"/>
          <w:sz w:val="22"/>
          <w:szCs w:val="22"/>
        </w:rPr>
        <w:t>.</w:t>
      </w:r>
    </w:p>
    <w:p w:rsidRPr="00DD3983" w:rsidR="00A50059" w:rsidP="006618CC" w:rsidRDefault="00C0454E" w14:paraId="508A6B02" w14:textId="0C69B3AB">
      <w:pPr>
        <w:jc w:val="both"/>
        <w:rPr>
          <w:rFonts w:ascii="Arial" w:hAnsi="Arial" w:cs="Arial"/>
          <w:color w:val="000000" w:themeColor="text1"/>
          <w:sz w:val="22"/>
          <w:szCs w:val="22"/>
        </w:rPr>
      </w:pPr>
      <w:r w:rsidRPr="00DD3983">
        <w:rPr>
          <w:rFonts w:ascii="Arial" w:hAnsi="Arial" w:cs="Arial"/>
          <w:color w:val="000000" w:themeColor="text1"/>
          <w:sz w:val="22"/>
          <w:szCs w:val="22"/>
        </w:rPr>
        <w:t xml:space="preserve">With over a century of research attempting to find the ‘silver bullet’ for AD it </w:t>
      </w:r>
      <w:r w:rsidRPr="00DD3983" w:rsidR="00C66C0F">
        <w:rPr>
          <w:rFonts w:ascii="Arial" w:hAnsi="Arial" w:cs="Arial"/>
          <w:color w:val="000000" w:themeColor="text1"/>
          <w:sz w:val="22"/>
          <w:szCs w:val="22"/>
        </w:rPr>
        <w:t>has</w:t>
      </w:r>
      <w:r w:rsidRPr="00DD3983">
        <w:rPr>
          <w:rFonts w:ascii="Arial" w:hAnsi="Arial" w:cs="Arial"/>
          <w:color w:val="000000" w:themeColor="text1"/>
          <w:sz w:val="22"/>
          <w:szCs w:val="22"/>
        </w:rPr>
        <w:t xml:space="preserve"> becom</w:t>
      </w:r>
      <w:r w:rsidRPr="00DD3983" w:rsidR="00C66C0F">
        <w:rPr>
          <w:rFonts w:ascii="Arial" w:hAnsi="Arial" w:cs="Arial"/>
          <w:color w:val="000000" w:themeColor="text1"/>
          <w:sz w:val="22"/>
          <w:szCs w:val="22"/>
        </w:rPr>
        <w:t>e</w:t>
      </w:r>
      <w:r w:rsidRPr="00DD3983">
        <w:rPr>
          <w:rFonts w:ascii="Arial" w:hAnsi="Arial" w:cs="Arial"/>
          <w:color w:val="000000" w:themeColor="text1"/>
          <w:sz w:val="22"/>
          <w:szCs w:val="22"/>
        </w:rPr>
        <w:t xml:space="preserve"> clear that the paradigm in which AD </w:t>
      </w:r>
      <w:proofErr w:type="gramStart"/>
      <w:r w:rsidRPr="00DD3983">
        <w:rPr>
          <w:rFonts w:ascii="Arial" w:hAnsi="Arial" w:cs="Arial"/>
          <w:color w:val="000000" w:themeColor="text1"/>
          <w:sz w:val="22"/>
          <w:szCs w:val="22"/>
        </w:rPr>
        <w:t>is approached</w:t>
      </w:r>
      <w:proofErr w:type="gramEnd"/>
      <w:r w:rsidRPr="00DD3983">
        <w:rPr>
          <w:rFonts w:ascii="Arial" w:hAnsi="Arial" w:cs="Arial"/>
          <w:color w:val="000000" w:themeColor="text1"/>
          <w:sz w:val="22"/>
          <w:szCs w:val="22"/>
        </w:rPr>
        <w:t xml:space="preserve"> </w:t>
      </w:r>
      <w:r w:rsidRPr="00DD3983" w:rsidR="00453F7D">
        <w:rPr>
          <w:rFonts w:ascii="Arial" w:hAnsi="Arial" w:cs="Arial"/>
          <w:color w:val="000000" w:themeColor="text1"/>
          <w:sz w:val="22"/>
          <w:szCs w:val="22"/>
        </w:rPr>
        <w:t>will</w:t>
      </w:r>
      <w:r w:rsidRPr="00DD3983">
        <w:rPr>
          <w:rFonts w:ascii="Arial" w:hAnsi="Arial" w:cs="Arial"/>
          <w:color w:val="000000" w:themeColor="text1"/>
          <w:sz w:val="22"/>
          <w:szCs w:val="22"/>
        </w:rPr>
        <w:t xml:space="preserve"> need to be revised to better acknowledge the reality of its multifaceted impacts. The complexity of AD calls for an innovative approach—one beginning at the very core of patient management: timely and accurate diagnosis. Early diagnosis may offer a pathway toward more </w:t>
      </w:r>
      <w:r w:rsidRPr="00DD3983" w:rsidR="00937707">
        <w:rPr>
          <w:rFonts w:ascii="Arial" w:hAnsi="Arial" w:cs="Arial"/>
          <w:color w:val="000000" w:themeColor="text1"/>
          <w:sz w:val="22"/>
          <w:szCs w:val="22"/>
        </w:rPr>
        <w:t>sustainable</w:t>
      </w:r>
      <w:r w:rsidRPr="00DD3983">
        <w:rPr>
          <w:rFonts w:ascii="Arial" w:hAnsi="Arial" w:cs="Arial"/>
          <w:color w:val="000000" w:themeColor="text1"/>
          <w:sz w:val="22"/>
          <w:szCs w:val="22"/>
        </w:rPr>
        <w:t xml:space="preserve">, preventative, and ultimately effective management of </w:t>
      </w:r>
      <w:r w:rsidRPr="00DD3983" w:rsidR="004A4388">
        <w:rPr>
          <w:rFonts w:ascii="Arial" w:hAnsi="Arial" w:cs="Arial"/>
          <w:color w:val="000000" w:themeColor="text1"/>
          <w:sz w:val="22"/>
          <w:szCs w:val="22"/>
        </w:rPr>
        <w:t>AD</w:t>
      </w:r>
      <w:r w:rsidR="00A13316">
        <w:rPr>
          <w:rFonts w:ascii="Arial" w:hAnsi="Arial" w:cs="Arial"/>
          <w:color w:val="000000" w:themeColor="text1"/>
          <w:sz w:val="22"/>
          <w:szCs w:val="22"/>
        </w:rPr>
        <w:t>.</w:t>
      </w:r>
      <w:r w:rsidRPr="00DD3983" w:rsidR="001F3B58">
        <w:rPr>
          <w:rFonts w:ascii="Arial" w:hAnsi="Arial" w:cs="Arial"/>
          <w:color w:val="000000" w:themeColor="text1"/>
          <w:sz w:val="22"/>
          <w:szCs w:val="22"/>
        </w:rPr>
        <w:fldChar w:fldCharType="begin"/>
      </w:r>
      <w:r w:rsidR="00025355">
        <w:rPr>
          <w:rFonts w:ascii="Arial" w:hAnsi="Arial" w:cs="Arial"/>
          <w:color w:val="000000" w:themeColor="text1"/>
          <w:sz w:val="22"/>
          <w:szCs w:val="22"/>
        </w:rPr>
        <w:instrText xml:space="preserve"> ADDIN ZOTERO_ITEM CSL_CITATION {"citationID":"ZkB6j3jy","properties":{"formattedCitation":"\\super 11,17,27,28\\nosupersub{}","plainCitation":"11,17,27,28","noteIndex":0},"citationItems":[{"id":1965,"uris":["http://zotero.org/users/10927406/items/ET3QIZFM"],"itemData":{"id":1965,"type":"article-journal","abstract":"This article describes the public health impact of Alzheimer's disease (AD), including prevalence and incidence, mortality and morbidity, use and costs of care and the ramifications of AD for family caregivers, the dementia workforce and society. The Special Report discusses the larger health care system for older adults with cognitive issues, focusing on the role of caregivers and non</w:instrText>
      </w:r>
      <w:r w:rsidR="00025355">
        <w:rPr>
          <w:rFonts w:ascii="Cambria Math" w:hAnsi="Cambria Math" w:cs="Cambria Math"/>
          <w:color w:val="000000" w:themeColor="text1"/>
          <w:sz w:val="22"/>
          <w:szCs w:val="22"/>
        </w:rPr>
        <w:instrText>‐</w:instrText>
      </w:r>
      <w:r w:rsidR="00025355">
        <w:rPr>
          <w:rFonts w:ascii="Arial" w:hAnsi="Arial" w:cs="Arial"/>
          <w:color w:val="000000" w:themeColor="text1"/>
          <w:sz w:val="22"/>
          <w:szCs w:val="22"/>
        </w:rPr>
        <w:instrText>physician health care professionals. An estimated 6.9 million Americans age 65 and older are living with Alzheimer's dementia today. This number could grow to 13.8 million by 2060, barring the development of medical breakthroughs to prevent or cure AD. Official AD death certificates recorded 119,399 deaths from AD in 2021. In 2020 and 2021, when COVID</w:instrText>
      </w:r>
      <w:r w:rsidR="00025355">
        <w:rPr>
          <w:rFonts w:ascii="Cambria Math" w:hAnsi="Cambria Math" w:cs="Cambria Math"/>
          <w:color w:val="000000" w:themeColor="text1"/>
          <w:sz w:val="22"/>
          <w:szCs w:val="22"/>
        </w:rPr>
        <w:instrText>‐</w:instrText>
      </w:r>
      <w:r w:rsidR="00025355">
        <w:rPr>
          <w:rFonts w:ascii="Arial" w:hAnsi="Arial" w:cs="Arial"/>
          <w:color w:val="000000" w:themeColor="text1"/>
          <w:sz w:val="22"/>
          <w:szCs w:val="22"/>
        </w:rPr>
        <w:instrText>19 entered the ranks of the top ten causes of death, Alzheimer's was the seventh</w:instrText>
      </w:r>
      <w:r w:rsidR="00025355">
        <w:rPr>
          <w:rFonts w:ascii="Cambria Math" w:hAnsi="Cambria Math" w:cs="Cambria Math"/>
          <w:color w:val="000000" w:themeColor="text1"/>
          <w:sz w:val="22"/>
          <w:szCs w:val="22"/>
        </w:rPr>
        <w:instrText>‐</w:instrText>
      </w:r>
      <w:r w:rsidR="00025355">
        <w:rPr>
          <w:rFonts w:ascii="Arial" w:hAnsi="Arial" w:cs="Arial"/>
          <w:color w:val="000000" w:themeColor="text1"/>
          <w:sz w:val="22"/>
          <w:szCs w:val="22"/>
        </w:rPr>
        <w:instrText>leading cause of death in the United States. Official counts for more recent years are still being compiled. Alzheimer's remains the fifth</w:instrText>
      </w:r>
      <w:r w:rsidR="00025355">
        <w:rPr>
          <w:rFonts w:ascii="Cambria Math" w:hAnsi="Cambria Math" w:cs="Cambria Math"/>
          <w:color w:val="000000" w:themeColor="text1"/>
          <w:sz w:val="22"/>
          <w:szCs w:val="22"/>
        </w:rPr>
        <w:instrText>‐</w:instrText>
      </w:r>
      <w:r w:rsidR="00025355">
        <w:rPr>
          <w:rFonts w:ascii="Arial" w:hAnsi="Arial" w:cs="Arial"/>
          <w:color w:val="000000" w:themeColor="text1"/>
          <w:sz w:val="22"/>
          <w:szCs w:val="22"/>
        </w:rPr>
        <w:instrText>leading cause of death among Americans age 65 and older. Between 2000 and 2021, deaths from stroke, heart disease and HIV decreased, whereas reported deaths from AD increased more than 140%. More than 11 million family members and other unpaid caregivers provided an estimated 18.4 billion hours of care to people with Alzheimer's or other dementias in 2023. These figures reflect a decline in the number of caregivers compared with a decade earlier, as well as an increase in the amount of care provided by each remaining caregiver. Unpaid dementia caregiving was valued at $346.6 billion in 2023. Its costs, however, extend to unpaid caregivers’ increased risk for emotional distress and negative mental and physical health outcomes. Members of the paid health care and broader community</w:instrText>
      </w:r>
      <w:r w:rsidR="00025355">
        <w:rPr>
          <w:rFonts w:ascii="Cambria Math" w:hAnsi="Cambria Math" w:cs="Cambria Math"/>
          <w:color w:val="000000" w:themeColor="text1"/>
          <w:sz w:val="22"/>
          <w:szCs w:val="22"/>
        </w:rPr>
        <w:instrText>‐</w:instrText>
      </w:r>
      <w:r w:rsidR="00025355">
        <w:rPr>
          <w:rFonts w:ascii="Arial" w:hAnsi="Arial" w:cs="Arial"/>
          <w:color w:val="000000" w:themeColor="text1"/>
          <w:sz w:val="22"/>
          <w:szCs w:val="22"/>
        </w:rPr>
        <w:instrText>based workforce are involved in diagnosing, treating and caring for people with dementia. However, the United States faces growing shortages across different segments of the dementia care workforce due to a combination of factors, including the absolute increase in the number of people living with dementia. Therefore, targeted programs and care delivery models will be needed to attract, better train and effectively deploy health care and community</w:instrText>
      </w:r>
      <w:r w:rsidR="00025355">
        <w:rPr>
          <w:rFonts w:ascii="Cambria Math" w:hAnsi="Cambria Math" w:cs="Cambria Math"/>
          <w:color w:val="000000" w:themeColor="text1"/>
          <w:sz w:val="22"/>
          <w:szCs w:val="22"/>
        </w:rPr>
        <w:instrText>‐</w:instrText>
      </w:r>
      <w:r w:rsidR="00025355">
        <w:rPr>
          <w:rFonts w:ascii="Arial" w:hAnsi="Arial" w:cs="Arial"/>
          <w:color w:val="000000" w:themeColor="text1"/>
          <w:sz w:val="22"/>
          <w:szCs w:val="22"/>
        </w:rPr>
        <w:instrText>based workers to provide dementia care. Average per</w:instrText>
      </w:r>
      <w:r w:rsidR="00025355">
        <w:rPr>
          <w:rFonts w:ascii="Cambria Math" w:hAnsi="Cambria Math" w:cs="Cambria Math"/>
          <w:color w:val="000000" w:themeColor="text1"/>
          <w:sz w:val="22"/>
          <w:szCs w:val="22"/>
        </w:rPr>
        <w:instrText>‐</w:instrText>
      </w:r>
      <w:r w:rsidR="00025355">
        <w:rPr>
          <w:rFonts w:ascii="Arial" w:hAnsi="Arial" w:cs="Arial"/>
          <w:color w:val="000000" w:themeColor="text1"/>
          <w:sz w:val="22"/>
          <w:szCs w:val="22"/>
        </w:rPr>
        <w:instrText>person Medicare payments for services to beneficiaries age 65 and older with AD or other dementias are almost three times as great as payments for beneficiaries without these conditions, and Medicaid payments are more than 22 times as great. Total payments in 2024 for health care, long</w:instrText>
      </w:r>
      <w:r w:rsidR="00025355">
        <w:rPr>
          <w:rFonts w:ascii="Cambria Math" w:hAnsi="Cambria Math" w:cs="Cambria Math"/>
          <w:color w:val="000000" w:themeColor="text1"/>
          <w:sz w:val="22"/>
          <w:szCs w:val="22"/>
        </w:rPr>
        <w:instrText>‐</w:instrText>
      </w:r>
      <w:r w:rsidR="00025355">
        <w:rPr>
          <w:rFonts w:ascii="Arial" w:hAnsi="Arial" w:cs="Arial"/>
          <w:color w:val="000000" w:themeColor="text1"/>
          <w:sz w:val="22"/>
          <w:szCs w:val="22"/>
        </w:rPr>
        <w:instrText>term care and hospice services for people age 65 and older with dementia are estimated to be $360 billion. The Special Report investigates how caregivers of older adults with cognitive issues interact with the health care system and examines the role non</w:instrText>
      </w:r>
      <w:r w:rsidR="00025355">
        <w:rPr>
          <w:rFonts w:ascii="Cambria Math" w:hAnsi="Cambria Math" w:cs="Cambria Math"/>
          <w:color w:val="000000" w:themeColor="text1"/>
          <w:sz w:val="22"/>
          <w:szCs w:val="22"/>
        </w:rPr>
        <w:instrText>‐</w:instrText>
      </w:r>
      <w:r w:rsidR="00025355">
        <w:rPr>
          <w:rFonts w:ascii="Arial" w:hAnsi="Arial" w:cs="Arial"/>
          <w:color w:val="000000" w:themeColor="text1"/>
          <w:sz w:val="22"/>
          <w:szCs w:val="22"/>
        </w:rPr>
        <w:instrText>physician health care professionals play in facilitating clinical care and access to community</w:instrText>
      </w:r>
      <w:r w:rsidR="00025355">
        <w:rPr>
          <w:rFonts w:ascii="Cambria Math" w:hAnsi="Cambria Math" w:cs="Cambria Math"/>
          <w:color w:val="000000" w:themeColor="text1"/>
          <w:sz w:val="22"/>
          <w:szCs w:val="22"/>
        </w:rPr>
        <w:instrText>‐</w:instrText>
      </w:r>
      <w:r w:rsidR="00025355">
        <w:rPr>
          <w:rFonts w:ascii="Arial" w:hAnsi="Arial" w:cs="Arial"/>
          <w:color w:val="000000" w:themeColor="text1"/>
          <w:sz w:val="22"/>
          <w:szCs w:val="22"/>
        </w:rPr>
        <w:instrText xml:space="preserve">based services and supports. It includes surveys of caregivers and health care workers, focusing on their experiences, challenges, awareness and perceptions of dementia care navigation.","container-title":"Alzheimer's &amp; Dementia","DOI":"10.1002/alz.13809","ISSN":"1552-5260","issue":"5","journalAbbreviation":"Alzheimers Dement","note":"PMID: 38689398\nPMCID: PMC11095490","page":"3708-3821","source":"PubMed Central","title":"2024 Alzheimer's disease facts and figures","volume":"20","issued":{"date-parts":[["2024",4,30]]}}},{"id":1960,"uris":["http://zotero.org/users/10927406/items/5G45SIJ7"],"itemData":{"id":1960,"type":"article-journal","abstract":"The hunt for early Alzheimer's disease detection has created cutting-edge diagnostic instruments with enormous promise. This article examines the many facets of these developments, focusing on how they have revolutionised diagnosis and patient outcomes. These tools make it possible to detect tiny brain changes even before they give birth to clinical symptoms by combining cutting-edge biomarkers, neuroimaging methods, and machine-learning algorithms. A significant opportunity for therapies that can slow the course of the disease exists during this early detection stage. Additionally, these cutting-edge techniques improve diagnostic precision, objectivity, and accessibility. Liquid biopsies and blood-based biomarkers provide non-invasive alternatives, filling accessibility gaps in diagnosis. While issues with standardisation, ethics, and data integration continue, collaboration within research, clinical practice, and policy realms fuels positive developments. As technology advances, the way towards better Alzheimer's diagnosis becomes more evident, giving patients and families dealing with this difficult illness fresh hope. The synergy between scientific advancement and compassionate treatment is crucial for improving Alzheimer's disease diagnosis, as this paper emphasises.","container-title":"Cureus","DOI":"10.7759/cureus.44937","ISSN":"2168-8184","issue":"9","journalAbbreviation":"Cureus","note":"PMID: 37818489\nPMCID: PMC10561010","page":"e44937","source":"PubMed Central","title":"Navigating Early Alzheimer's Diagnosis: A Comprehensive Review of Diagnostic Innovations","title-short":"Navigating Early Alzheimer's Diagnosis","volume":"15","author":[{"family":"Juganavar","given":"Anup"},{"family":"Joshi","given":"Abhishek"},{"family":"Shegekar","given":"Tejas"}],"issued":{"date-parts":[["2023"]]}}},{"id":1976,"uris":["http://zotero.org/users/10927406/items/PP4RMC87"],"itemData":{"id":1976,"type":"article-journal","container-title":"The Lancet","DOI":"10.1016/S0140-6736(24)01296-0","ISSN":"0140-6736, 1474-547X","issue":"10452","journalAbbreviation":"The Lancet","language":"English","note":"publisher: Elsevier\nPMID: 39096926","page":"572-628","source":"www.thelancet.com","title":"Dementia prevention, intervention, and care: 2024 report of the Lancet standing Commission","title-short":"Dementia prevention, intervention, and care","volume":"404","author":[{"family":"Livingston","given":"Gill"},{"family":"Huntley","given":"Jonathan"},{"family":"Liu","given":"Kathy Y."},{"family":"Costafreda","given":"Sergi G."},{"family":"Selbæk","given":"Geir"},{"family":"Alladi","given":"Suvarna"},{"family":"Ames","given":"David"},{"family":"Banerjee","given":"Sube"},{"family":"Burns","given":"Alistair"},{"family":"Brayne","given":"Carol"},{"family":"Fox","given":"Nick C."},{"family":"Ferri","given":"Cleusa P."},{"family":"Gitlin","given":"Laura N."},{"family":"Howard","given":"Robert"},{"family":"Kales","given":"Helen C."},{"family":"Kivimäki","given":"Mika"},{"family":"Larson","given":"Eric B."},{"family":"Nakasujja","given":"Noeline"},{"family":"Rockwood","given":"Kenneth"},{"family":"Samus","given":"Quincy"},{"family":"Shirai","given":"Kokoro"},{"family":"Singh-Manoux","given":"Archana"},{"family":"Schneider","given":"Lon S."},{"family":"Walsh","given":"Sebastian"},{"family":"Yao","given":"Yao"},{"family":"Sommerlad","given":"Andrew"},{"family":"Mukadam","given":"Naaheed"}],"issued":{"date-parts":[["2024",8,10]]}}},{"id":1966,"uris":["http://zotero.org/users/10927406/items/AFEKTGG4"],"itemData":{"id":1966,"type":"article-journal","abstract":"Alzheimer's disease is the leading cause of dementia. However, neither Alzheimer’s disease nor Alzheimer’s dementia are an inevitable consequence of aging. This review provides an overview of the issues involved in a diagnosis of Alzheimer’s disease before an individual meets the criteria for Alzheimer’s dementia. It examines how Alzheimer’s disease diagnosis rates can be improved, the implications of an early diagnosis for the individual, carer and society, and the importance of risk reduction to prevent or delay progression. Although no disease-modifying agents capable of reversing the initial pathological changes are currently available, it may be possible to prevent or delay the development of dementia in a proportion of the population by modifying exposure to common risk factors. In other individuals, diagnosing the disease or risk of disease early is still valuable so that the individual and their carers have time to make choices and plan for the future, and to allow access to treatments that can help manage symptoms. Primary healthcare professionals play a pivotal role in recognising individuals at risk, recommending lifestyle changes in mid-adult life that can prevent or slow down the disease, and in timely diagnosis. Early intervention is the optimal strategy, because the patient’s level of function is preserved for longer.","container-title":"Degenerative Neurological and Neuromuscular Disease","DOI":"10.2147/DNND.S228939","ISSN":"1179-9900","journalAbbreviation":"Degener Neurol Neuromuscul Dis","note":"PMID: 31920420\nPMCID: PMC6935598","page":"123-130","source":"PubMed Central","title":"Alzheimer’s Disease – Why We Need Early Diagnosis","volume":"9","author":[{"family":"Rasmussen","given":"Jill"},{"family":"Langerman","given":"Haya"}],"issued":{"date-parts":[["2019",12,24]]}}}],"schema":"https://github.com/citation-style-language/schema/raw/master/csl-citation.json"} </w:instrText>
      </w:r>
      <w:r w:rsidRPr="00DD3983" w:rsidR="001F3B58">
        <w:rPr>
          <w:rFonts w:ascii="Arial" w:hAnsi="Arial" w:cs="Arial"/>
          <w:color w:val="000000" w:themeColor="text1"/>
          <w:sz w:val="22"/>
          <w:szCs w:val="22"/>
        </w:rPr>
        <w:fldChar w:fldCharType="separate"/>
      </w:r>
      <w:r w:rsidRPr="00025355" w:rsidR="00025355">
        <w:rPr>
          <w:rFonts w:ascii="Arial" w:hAnsi="Arial" w:cs="Arial"/>
          <w:kern w:val="0"/>
          <w:sz w:val="22"/>
          <w:vertAlign w:val="superscript"/>
        </w:rPr>
        <w:t>11,17,27,28</w:t>
      </w:r>
      <w:r w:rsidRPr="00DD3983" w:rsidR="001F3B58">
        <w:rPr>
          <w:rFonts w:ascii="Arial" w:hAnsi="Arial" w:cs="Arial"/>
          <w:color w:val="000000" w:themeColor="text1"/>
          <w:sz w:val="22"/>
          <w:szCs w:val="22"/>
        </w:rPr>
        <w:fldChar w:fldCharType="end"/>
      </w:r>
      <w:r w:rsidRPr="00DD3983" w:rsidR="009F013A">
        <w:rPr>
          <w:rFonts w:ascii="Arial" w:hAnsi="Arial" w:cs="Arial"/>
          <w:color w:val="000000" w:themeColor="text1"/>
          <w:sz w:val="22"/>
          <w:szCs w:val="22"/>
        </w:rPr>
        <w:t xml:space="preserve"> The Lancet Commission on Dementia Prevention demonstrates that up to 40% of all dementia cases may be preventable through modifiable risk factor intervention, which is most effective in pre-symptomatic or early disease stages</w:t>
      </w:r>
      <w:r w:rsidR="00A13316">
        <w:rPr>
          <w:rFonts w:ascii="Arial" w:hAnsi="Arial" w:cs="Arial"/>
          <w:color w:val="000000" w:themeColor="text1"/>
          <w:sz w:val="22"/>
          <w:szCs w:val="22"/>
        </w:rPr>
        <w:t>.</w:t>
      </w:r>
      <w:r w:rsidRPr="00DD3983" w:rsidR="006F1DD2">
        <w:rPr>
          <w:rFonts w:ascii="Arial" w:hAnsi="Arial" w:cs="Arial"/>
          <w:color w:val="000000" w:themeColor="text1"/>
          <w:sz w:val="22"/>
          <w:szCs w:val="22"/>
        </w:rPr>
        <w:fldChar w:fldCharType="begin"/>
      </w:r>
      <w:r w:rsidR="00025355">
        <w:rPr>
          <w:rFonts w:ascii="Arial" w:hAnsi="Arial" w:cs="Arial"/>
          <w:color w:val="000000" w:themeColor="text1"/>
          <w:sz w:val="22"/>
          <w:szCs w:val="22"/>
        </w:rPr>
        <w:instrText xml:space="preserve"> ADDIN ZOTERO_ITEM CSL_CITATION {"citationID":"8aOGskEN","properties":{"formattedCitation":"\\super 11\\nosupersub{}","plainCitation":"11","noteIndex":0},"citationItems":[{"id":1976,"uris":["http://zotero.org/users/10927406/items/PP4RMC87"],"itemData":{"id":1976,"type":"article-journal","container-title":"The Lancet","DOI":"10.1016/S0140-6736(24)01296-0","ISSN":"0140-6736, 1474-547X","issue":"10452","journalAbbreviation":"The Lancet","language":"English","note":"publisher: Elsevier\nPMID: 39096926","page":"572-628","source":"www.thelancet.com","title":"Dementia prevention, intervention, and care: 2024 report of the Lancet standing Commission","title-short":"Dementia prevention, intervention, and care","volume":"404","author":[{"family":"Livingston","given":"Gill"},{"family":"Huntley","given":"Jonathan"},{"family":"Liu","given":"Kathy Y."},{"family":"Costafreda","given":"Sergi G."},{"family":"Selbæk","given":"Geir"},{"family":"Alladi","given":"Suvarna"},{"family":"Ames","given":"David"},{"family":"Banerjee","given":"Sube"},{"family":"Burns","given":"Alistair"},{"family":"Brayne","given":"Carol"},{"family":"Fox","given":"Nick C."},{"family":"Ferri","given":"Cleusa P."},{"family":"Gitlin","given":"Laura N."},{"family":"Howard","given":"Robert"},{"family":"Kales","given":"Helen C."},{"family":"Kivimäki","given":"Mika"},{"family":"Larson","given":"Eric B."},{"family":"Nakasujja","given":"Noeline"},{"family":"Rockwood","given":"Kenneth"},{"family":"Samus","given":"Quincy"},{"family":"Shirai","given":"Kokoro"},{"family":"Singh-Manoux","given":"Archana"},{"family":"Schneider","given":"Lon S."},{"family":"Walsh","given":"Sebastian"},{"family":"Yao","given":"Yao"},{"family":"Sommerlad","given":"Andrew"},{"family":"Mukadam","given":"Naaheed"}],"issued":{"date-parts":[["2024",8,10]]}}}],"schema":"https://github.com/citation-style-language/schema/raw/master/csl-citation.json"} </w:instrText>
      </w:r>
      <w:r w:rsidRPr="00DD3983" w:rsidR="006F1DD2">
        <w:rPr>
          <w:rFonts w:ascii="Arial" w:hAnsi="Arial" w:cs="Arial"/>
          <w:color w:val="000000" w:themeColor="text1"/>
          <w:sz w:val="22"/>
          <w:szCs w:val="22"/>
        </w:rPr>
        <w:fldChar w:fldCharType="separate"/>
      </w:r>
      <w:r w:rsidRPr="00025355" w:rsidR="00025355">
        <w:rPr>
          <w:rFonts w:ascii="Arial" w:hAnsi="Arial" w:cs="Arial"/>
          <w:kern w:val="0"/>
          <w:sz w:val="22"/>
          <w:vertAlign w:val="superscript"/>
        </w:rPr>
        <w:t>11</w:t>
      </w:r>
      <w:r w:rsidRPr="00DD3983" w:rsidR="006F1DD2">
        <w:rPr>
          <w:rFonts w:ascii="Arial" w:hAnsi="Arial" w:cs="Arial"/>
          <w:color w:val="000000" w:themeColor="text1"/>
          <w:sz w:val="22"/>
          <w:szCs w:val="22"/>
        </w:rPr>
        <w:fldChar w:fldCharType="end"/>
      </w:r>
      <w:r w:rsidRPr="00DD3983" w:rsidR="009F013A">
        <w:rPr>
          <w:rFonts w:ascii="Arial" w:hAnsi="Arial" w:cs="Arial"/>
          <w:color w:val="000000" w:themeColor="text1"/>
          <w:sz w:val="22"/>
          <w:szCs w:val="22"/>
        </w:rPr>
        <w:t xml:space="preserve"> </w:t>
      </w:r>
      <w:r w:rsidRPr="00DD3983" w:rsidR="000A53AF">
        <w:rPr>
          <w:rFonts w:ascii="Arial" w:hAnsi="Arial" w:cs="Arial"/>
          <w:color w:val="000000" w:themeColor="text1"/>
          <w:sz w:val="22"/>
          <w:szCs w:val="22"/>
        </w:rPr>
        <w:t>Further, a</w:t>
      </w:r>
      <w:r w:rsidRPr="00DD3983" w:rsidR="009F013A">
        <w:rPr>
          <w:rFonts w:ascii="Arial" w:hAnsi="Arial" w:cs="Arial"/>
          <w:color w:val="000000" w:themeColor="text1"/>
          <w:sz w:val="22"/>
          <w:szCs w:val="22"/>
        </w:rPr>
        <w:t xml:space="preserve"> 5-year delay in AD onset could reduce prevalence by 50% </w:t>
      </w:r>
      <w:r w:rsidRPr="00DD3983" w:rsidR="00CB14D2">
        <w:rPr>
          <w:rFonts w:ascii="Arial" w:hAnsi="Arial" w:cs="Arial"/>
          <w:color w:val="000000" w:themeColor="text1"/>
          <w:sz w:val="22"/>
          <w:szCs w:val="22"/>
        </w:rPr>
        <w:t>with</w:t>
      </w:r>
      <w:r w:rsidRPr="00DD3983" w:rsidR="009F013A">
        <w:rPr>
          <w:rFonts w:ascii="Arial" w:hAnsi="Arial" w:cs="Arial"/>
          <w:color w:val="000000" w:themeColor="text1"/>
          <w:sz w:val="22"/>
          <w:szCs w:val="22"/>
        </w:rPr>
        <w:t>in a generation while decreasing overall costs by approximately 40%</w:t>
      </w:r>
      <w:r w:rsidR="00A13316">
        <w:rPr>
          <w:rFonts w:ascii="Arial" w:hAnsi="Arial" w:cs="Arial"/>
          <w:color w:val="000000" w:themeColor="text1"/>
          <w:sz w:val="22"/>
          <w:szCs w:val="22"/>
        </w:rPr>
        <w:t>.</w:t>
      </w:r>
      <w:r w:rsidRPr="00DD3983" w:rsidR="00220014">
        <w:rPr>
          <w:rFonts w:ascii="Arial" w:hAnsi="Arial" w:cs="Arial"/>
          <w:color w:val="000000" w:themeColor="text1"/>
          <w:sz w:val="22"/>
          <w:szCs w:val="22"/>
        </w:rPr>
        <w:fldChar w:fldCharType="begin"/>
      </w:r>
      <w:r w:rsidR="00025355">
        <w:rPr>
          <w:rFonts w:ascii="Arial" w:hAnsi="Arial" w:cs="Arial"/>
          <w:color w:val="000000" w:themeColor="text1"/>
          <w:sz w:val="22"/>
          <w:szCs w:val="22"/>
        </w:rPr>
        <w:instrText xml:space="preserve"> ADDIN ZOTERO_ITEM CSL_CITATION {"citationID":"IqPCo4Kd","properties":{"formattedCitation":"\\super 11,28\\nosupersub{}","plainCitation":"11,28","noteIndex":0},"citationItems":[{"id":1976,"uris":["http://zotero.org/users/10927406/items/PP4RMC87"],"itemData":{"id":1976,"type":"article-journal","container-title":"The Lancet","DOI":"10.1016/S0140-6736(24)01296-0","ISSN":"0140-6736, 1474-547X","issue":"10452","journalAbbreviation":"The Lancet","language":"English","note":"publisher: Elsevier\nPMID: 39096926","page":"572-628","source":"www.thelancet.com","title":"Dementia prevention, intervention, and care: 2024 report of the Lancet standing Commission","title-short":"Dementia prevention, intervention, and care","volume":"404","author":[{"family":"Livingston","given":"Gill"},{"family":"Huntley","given":"Jonathan"},{"family":"Liu","given":"Kathy Y."},{"family":"Costafreda","given":"Sergi G."},{"family":"Selbæk","given":"Geir"},{"family":"Alladi","given":"Suvarna"},{"family":"Ames","given":"David"},{"family":"Banerjee","given":"Sube"},{"family":"Burns","given":"Alistair"},{"family":"Brayne","given":"Carol"},{"family":"Fox","given":"Nick C."},{"family":"Ferri","given":"Cleusa P."},{"family":"Gitlin","given":"Laura N."},{"family":"Howard","given":"Robert"},{"family":"Kales","given":"Helen C."},{"family":"Kivimäki","given":"Mika"},{"family":"Larson","given":"Eric B."},{"family":"Nakasujja","given":"Noeline"},{"family":"Rockwood","given":"Kenneth"},{"family":"Samus","given":"Quincy"},{"family":"Shirai","given":"Kokoro"},{"family":"Singh-Manoux","given":"Archana"},{"family":"Schneider","given":"Lon S."},{"family":"Walsh","given":"Sebastian"},{"family":"Yao","given":"Yao"},{"family":"Sommerlad","given":"Andrew"},{"family":"Mukadam","given":"Naaheed"}],"issued":{"date-parts":[["2024",8,10]]}}},{"id":1966,"uris":["http://zotero.org/users/10927406/items/AFEKTGG4"],"itemData":{"id":1966,"type":"article-journal","abstract":"Alzheimer's disease is the leading cause of dementia. However, neither Alzheimer’s disease nor Alzheimer’s dementia are an inevitable consequence of aging. This review provides an overview of the issues involved in a diagnosis of Alzheimer’s disease before an individual meets the criteria for Alzheimer’s dementia. It examines how Alzheimer’s disease diagnosis rates can be improved, the implications of an early diagnosis for the individual, carer and society, and the importance of risk reduction to prevent or delay progression. Although no disease-modifying agents capable of reversing the initial pathological changes are currently available, it may be possible to prevent or delay the development of dementia in a proportion of the population by modifying exposure to common risk factors. In other individuals, diagnosing the disease or risk of disease early is still valuable so that the individual and their carers have time to make choices and plan for the future, and to allow access to treatments that can help manage symptoms. Primary healthcare professionals play a pivotal role in recognising individuals at risk, recommending lifestyle changes in mid-adult life that can prevent or slow down the disease, and in timely diagnosis. Early intervention is the optimal strategy, because the patient’s level of function is preserved for longer.","container-title":"Degenerative Neurological and Neuromuscular Disease","DOI":"10.2147/DNND.S228939","ISSN":"1179-9900","journalAbbreviation":"Degener Neurol Neuromuscul Dis","note":"PMID: 31920420\nPMCID: PMC6935598","page":"123-130","source":"PubMed Central","title":"Alzheimer’s Disease – Why We Need Early Diagnosis","volume":"9","author":[{"family":"Rasmussen","given":"Jill"},{"family":"Langerman","given":"Haya"}],"issued":{"date-parts":[["2019",12,24]]}}}],"schema":"https://github.com/citation-style-language/schema/raw/master/csl-citation.json"} </w:instrText>
      </w:r>
      <w:r w:rsidRPr="00DD3983" w:rsidR="00220014">
        <w:rPr>
          <w:rFonts w:ascii="Arial" w:hAnsi="Arial" w:cs="Arial"/>
          <w:color w:val="000000" w:themeColor="text1"/>
          <w:sz w:val="22"/>
          <w:szCs w:val="22"/>
        </w:rPr>
        <w:fldChar w:fldCharType="separate"/>
      </w:r>
      <w:r w:rsidRPr="00025355" w:rsidR="00025355">
        <w:rPr>
          <w:rFonts w:ascii="Arial" w:hAnsi="Arial" w:cs="Arial"/>
          <w:kern w:val="0"/>
          <w:sz w:val="22"/>
          <w:vertAlign w:val="superscript"/>
        </w:rPr>
        <w:t>11,28</w:t>
      </w:r>
      <w:r w:rsidRPr="00DD3983" w:rsidR="00220014">
        <w:rPr>
          <w:rFonts w:ascii="Arial" w:hAnsi="Arial" w:cs="Arial"/>
          <w:color w:val="000000" w:themeColor="text1"/>
          <w:sz w:val="22"/>
          <w:szCs w:val="22"/>
        </w:rPr>
        <w:fldChar w:fldCharType="end"/>
      </w:r>
      <w:r w:rsidRPr="00DD3983" w:rsidR="000A53AF">
        <w:rPr>
          <w:rFonts w:ascii="Arial" w:hAnsi="Arial" w:cs="Arial"/>
          <w:color w:val="000000" w:themeColor="text1"/>
          <w:sz w:val="22"/>
          <w:szCs w:val="22"/>
        </w:rPr>
        <w:t xml:space="preserve"> E</w:t>
      </w:r>
      <w:r w:rsidRPr="00DD3983" w:rsidR="009F013A">
        <w:rPr>
          <w:rFonts w:ascii="Arial" w:hAnsi="Arial" w:cs="Arial"/>
          <w:color w:val="000000" w:themeColor="text1"/>
          <w:sz w:val="22"/>
          <w:szCs w:val="22"/>
        </w:rPr>
        <w:t>ach year of delayed diagnosis accelerates subsequent cognitive decline by 7% and increases care costs by 11%</w:t>
      </w:r>
      <w:r w:rsidR="00A13316">
        <w:rPr>
          <w:rFonts w:ascii="Arial" w:hAnsi="Arial" w:cs="Arial"/>
          <w:color w:val="000000" w:themeColor="text1"/>
          <w:sz w:val="22"/>
          <w:szCs w:val="22"/>
        </w:rPr>
        <w:t>.</w:t>
      </w:r>
      <w:r w:rsidRPr="00DD3983" w:rsidR="000A53AF">
        <w:rPr>
          <w:rFonts w:ascii="Arial" w:hAnsi="Arial" w:cs="Arial"/>
          <w:color w:val="000000" w:themeColor="text1"/>
          <w:sz w:val="22"/>
          <w:szCs w:val="22"/>
        </w:rPr>
        <w:fldChar w:fldCharType="begin"/>
      </w:r>
      <w:r w:rsidR="00025355">
        <w:rPr>
          <w:rFonts w:ascii="Arial" w:hAnsi="Arial" w:cs="Arial"/>
          <w:color w:val="000000" w:themeColor="text1"/>
          <w:sz w:val="22"/>
          <w:szCs w:val="22"/>
        </w:rPr>
        <w:instrText xml:space="preserve"> ADDIN ZOTERO_ITEM CSL_CITATION {"citationID":"stcnhbs7","properties":{"formattedCitation":"\\super 28\\nosupersub{}","plainCitation":"28","noteIndex":0},"citationItems":[{"id":1966,"uris":["http://zotero.org/users/10927406/items/AFEKTGG4"],"itemData":{"id":1966,"type":"article-journal","abstract":"Alzheimer's disease is the leading cause of dementia. However, neither Alzheimer’s disease nor Alzheimer’s dementia are an inevitable consequence of aging. This review provides an overview of the issues involved in a diagnosis of Alzheimer’s disease before an individual meets the criteria for Alzheimer’s dementia. It examines how Alzheimer’s disease diagnosis rates can be improved, the implications of an early diagnosis for the individual, carer and society, and the importance of risk reduction to prevent or delay progression. Although no disease-modifying agents capable of reversing the initial pathological changes are currently available, it may be possible to prevent or delay the development of dementia in a proportion of the population by modifying exposure to common risk factors. In other individuals, diagnosing the disease or risk of disease early is still valuable so that the individual and their carers have time to make choices and plan for the future, and to allow access to treatments that can help manage symptoms. Primary healthcare professionals play a pivotal role in recognising individuals at risk, recommending lifestyle changes in mid-adult life that can prevent or slow down the disease, and in timely diagnosis. Early intervention is the optimal strategy, because the patient’s level of function is preserved for longer.","container-title":"Degenerative Neurological and Neuromuscular Disease","DOI":"10.2147/DNND.S228939","ISSN":"1179-9900","journalAbbreviation":"Degener Neurol Neuromuscul Dis","note":"PMID: 31920420\nPMCID: PMC6935598","page":"123-130","source":"PubMed Central","title":"Alzheimer’s Disease – Why We Need Early Diagnosis","volume":"9","author":[{"family":"Rasmussen","given":"Jill"},{"family":"Langerman","given":"Haya"}],"issued":{"date-parts":[["2019",12,24]]}}}],"schema":"https://github.com/citation-style-language/schema/raw/master/csl-citation.json"} </w:instrText>
      </w:r>
      <w:r w:rsidRPr="00DD3983" w:rsidR="000A53AF">
        <w:rPr>
          <w:rFonts w:ascii="Arial" w:hAnsi="Arial" w:cs="Arial"/>
          <w:color w:val="000000" w:themeColor="text1"/>
          <w:sz w:val="22"/>
          <w:szCs w:val="22"/>
        </w:rPr>
        <w:fldChar w:fldCharType="separate"/>
      </w:r>
      <w:r w:rsidRPr="00025355" w:rsidR="00025355">
        <w:rPr>
          <w:rFonts w:ascii="Arial" w:hAnsi="Arial" w:cs="Arial"/>
          <w:kern w:val="0"/>
          <w:sz w:val="22"/>
          <w:vertAlign w:val="superscript"/>
        </w:rPr>
        <w:t>28</w:t>
      </w:r>
      <w:r w:rsidRPr="00DD3983" w:rsidR="000A53AF">
        <w:rPr>
          <w:rFonts w:ascii="Arial" w:hAnsi="Arial" w:cs="Arial"/>
          <w:color w:val="000000" w:themeColor="text1"/>
          <w:sz w:val="22"/>
          <w:szCs w:val="22"/>
        </w:rPr>
        <w:fldChar w:fldCharType="end"/>
      </w:r>
      <w:r w:rsidRPr="00DD3983" w:rsidR="00C9326F">
        <w:rPr>
          <w:rFonts w:ascii="Arial" w:hAnsi="Arial" w:cs="Arial"/>
          <w:color w:val="000000" w:themeColor="text1"/>
          <w:sz w:val="22"/>
          <w:szCs w:val="22"/>
        </w:rPr>
        <w:t xml:space="preserve"> Which together indicate </w:t>
      </w:r>
      <w:r w:rsidRPr="00DD3983" w:rsidR="00670591">
        <w:rPr>
          <w:rFonts w:ascii="Arial" w:hAnsi="Arial" w:cs="Arial"/>
          <w:color w:val="000000" w:themeColor="text1"/>
          <w:sz w:val="22"/>
          <w:szCs w:val="22"/>
        </w:rPr>
        <w:t>that</w:t>
      </w:r>
      <w:r w:rsidRPr="00DD3983" w:rsidR="004B2390">
        <w:rPr>
          <w:rFonts w:ascii="Arial" w:hAnsi="Arial" w:cs="Arial"/>
          <w:color w:val="000000" w:themeColor="text1"/>
          <w:sz w:val="22"/>
          <w:szCs w:val="22"/>
        </w:rPr>
        <w:t xml:space="preserve"> </w:t>
      </w:r>
      <w:r w:rsidRPr="00DD3983" w:rsidR="00341A82">
        <w:rPr>
          <w:rFonts w:ascii="Arial" w:hAnsi="Arial" w:cs="Arial"/>
          <w:color w:val="000000" w:themeColor="text1"/>
          <w:sz w:val="22"/>
          <w:szCs w:val="22"/>
        </w:rPr>
        <w:t xml:space="preserve">barriers </w:t>
      </w:r>
      <w:r w:rsidRPr="00DD3983" w:rsidR="003D7412">
        <w:rPr>
          <w:rFonts w:ascii="Arial" w:hAnsi="Arial" w:cs="Arial"/>
          <w:color w:val="000000" w:themeColor="text1"/>
          <w:sz w:val="22"/>
          <w:szCs w:val="22"/>
        </w:rPr>
        <w:t>for an</w:t>
      </w:r>
      <w:r w:rsidRPr="00DD3983" w:rsidR="00341A82">
        <w:rPr>
          <w:rFonts w:ascii="Arial" w:hAnsi="Arial" w:cs="Arial"/>
          <w:color w:val="000000" w:themeColor="text1"/>
          <w:sz w:val="22"/>
          <w:szCs w:val="22"/>
        </w:rPr>
        <w:t xml:space="preserve"> early diagnosis </w:t>
      </w:r>
      <w:r w:rsidRPr="00DD3983" w:rsidR="009C7DB1">
        <w:rPr>
          <w:rFonts w:ascii="Arial" w:hAnsi="Arial" w:cs="Arial"/>
          <w:color w:val="000000" w:themeColor="text1"/>
          <w:sz w:val="22"/>
          <w:szCs w:val="22"/>
        </w:rPr>
        <w:t>are</w:t>
      </w:r>
      <w:r w:rsidRPr="00DD3983" w:rsidR="00341A82">
        <w:rPr>
          <w:rFonts w:ascii="Arial" w:hAnsi="Arial" w:cs="Arial"/>
          <w:color w:val="000000" w:themeColor="text1"/>
          <w:sz w:val="22"/>
          <w:szCs w:val="22"/>
        </w:rPr>
        <w:t xml:space="preserve"> a </w:t>
      </w:r>
      <w:r w:rsidRPr="00DD3983" w:rsidR="00D92235">
        <w:rPr>
          <w:rFonts w:ascii="Arial" w:hAnsi="Arial" w:cs="Arial"/>
          <w:color w:val="000000" w:themeColor="text1"/>
          <w:sz w:val="22"/>
          <w:szCs w:val="22"/>
        </w:rPr>
        <w:t>significant bottleneck</w:t>
      </w:r>
      <w:r w:rsidRPr="00DD3983" w:rsidR="0002291D">
        <w:rPr>
          <w:rFonts w:ascii="Arial" w:hAnsi="Arial" w:cs="Arial"/>
          <w:color w:val="000000" w:themeColor="text1"/>
          <w:sz w:val="22"/>
          <w:szCs w:val="22"/>
        </w:rPr>
        <w:t xml:space="preserve"> </w:t>
      </w:r>
      <w:r w:rsidRPr="00DD3983" w:rsidR="00842E76">
        <w:rPr>
          <w:rFonts w:ascii="Arial" w:hAnsi="Arial" w:cs="Arial"/>
          <w:color w:val="000000" w:themeColor="text1"/>
          <w:sz w:val="22"/>
          <w:szCs w:val="22"/>
        </w:rPr>
        <w:t>in the current approach to AD</w:t>
      </w:r>
      <w:r w:rsidRPr="00DD3983" w:rsidR="00A638CF">
        <w:rPr>
          <w:rFonts w:ascii="Arial" w:hAnsi="Arial" w:cs="Arial"/>
          <w:color w:val="000000" w:themeColor="text1"/>
          <w:sz w:val="22"/>
          <w:szCs w:val="22"/>
        </w:rPr>
        <w:t xml:space="preserve">, however, because these barriers are often fragmented </w:t>
      </w:r>
      <w:r w:rsidRPr="00DD3983" w:rsidR="00BB6D5E">
        <w:rPr>
          <w:rFonts w:ascii="Arial" w:hAnsi="Arial" w:cs="Arial"/>
          <w:color w:val="000000" w:themeColor="text1"/>
          <w:sz w:val="22"/>
          <w:szCs w:val="22"/>
        </w:rPr>
        <w:t>an</w:t>
      </w:r>
      <w:r w:rsidRPr="00DD3983" w:rsidR="00931D55">
        <w:rPr>
          <w:rFonts w:ascii="Arial" w:hAnsi="Arial" w:cs="Arial"/>
          <w:color w:val="000000" w:themeColor="text1"/>
          <w:sz w:val="22"/>
          <w:szCs w:val="22"/>
        </w:rPr>
        <w:t xml:space="preserve">d exist within </w:t>
      </w:r>
      <w:r w:rsidRPr="00DD3983" w:rsidR="00B05D39">
        <w:rPr>
          <w:rFonts w:ascii="Arial" w:hAnsi="Arial" w:cs="Arial"/>
          <w:color w:val="000000" w:themeColor="text1"/>
          <w:sz w:val="22"/>
          <w:szCs w:val="22"/>
        </w:rPr>
        <w:t xml:space="preserve">varying </w:t>
      </w:r>
      <w:r w:rsidRPr="00DD3983" w:rsidR="001357BB">
        <w:rPr>
          <w:rFonts w:ascii="Arial" w:hAnsi="Arial" w:cs="Arial"/>
          <w:color w:val="000000" w:themeColor="text1"/>
          <w:sz w:val="22"/>
          <w:szCs w:val="22"/>
        </w:rPr>
        <w:t>disciplines</w:t>
      </w:r>
      <w:r w:rsidRPr="00DD3983" w:rsidR="00DF09BC">
        <w:rPr>
          <w:rFonts w:ascii="Arial" w:hAnsi="Arial" w:cs="Arial"/>
          <w:color w:val="000000" w:themeColor="text1"/>
          <w:sz w:val="22"/>
          <w:szCs w:val="22"/>
        </w:rPr>
        <w:t xml:space="preserve"> they </w:t>
      </w:r>
      <w:r w:rsidRPr="00DD3983" w:rsidR="009C7DB1">
        <w:rPr>
          <w:rFonts w:ascii="Arial" w:hAnsi="Arial" w:cs="Arial"/>
          <w:color w:val="000000" w:themeColor="text1"/>
          <w:sz w:val="22"/>
          <w:szCs w:val="22"/>
        </w:rPr>
        <w:t>remain to be fully understood and categorized</w:t>
      </w:r>
      <w:r w:rsidRPr="00DD3983" w:rsidR="00DF09BC">
        <w:rPr>
          <w:rFonts w:ascii="Arial" w:hAnsi="Arial" w:cs="Arial"/>
          <w:color w:val="000000" w:themeColor="text1"/>
          <w:sz w:val="22"/>
          <w:szCs w:val="22"/>
        </w:rPr>
        <w:t>.</w:t>
      </w:r>
    </w:p>
    <w:p w:rsidR="00950907" w:rsidP="006618CC" w:rsidRDefault="003D441C" w14:paraId="2A958336" w14:textId="4E499C85">
      <w:pPr>
        <w:jc w:val="both"/>
        <w:rPr>
          <w:rFonts w:ascii="Arial" w:hAnsi="Arial" w:cs="Arial"/>
          <w:color w:val="000000" w:themeColor="text1"/>
          <w:sz w:val="22"/>
          <w:szCs w:val="22"/>
        </w:rPr>
      </w:pPr>
      <w:r w:rsidRPr="00DD3983">
        <w:rPr>
          <w:rFonts w:ascii="Arial" w:hAnsi="Arial" w:cs="Arial"/>
          <w:color w:val="000000" w:themeColor="text1"/>
          <w:sz w:val="22"/>
          <w:szCs w:val="22"/>
        </w:rPr>
        <w:t>Thus</w:t>
      </w:r>
      <w:r w:rsidRPr="00DD3983" w:rsidR="00D679CF">
        <w:rPr>
          <w:rFonts w:ascii="Arial" w:hAnsi="Arial" w:cs="Arial"/>
          <w:color w:val="000000" w:themeColor="text1"/>
          <w:sz w:val="22"/>
          <w:szCs w:val="22"/>
        </w:rPr>
        <w:t>,</w:t>
      </w:r>
      <w:r w:rsidRPr="00DD3983">
        <w:rPr>
          <w:rFonts w:ascii="Arial" w:hAnsi="Arial" w:cs="Arial"/>
          <w:color w:val="000000" w:themeColor="text1"/>
          <w:sz w:val="22"/>
          <w:szCs w:val="22"/>
        </w:rPr>
        <w:t xml:space="preserve"> </w:t>
      </w:r>
      <w:r w:rsidRPr="00DD3983" w:rsidR="00D679CF">
        <w:rPr>
          <w:rFonts w:ascii="Arial" w:hAnsi="Arial" w:cs="Arial"/>
          <w:color w:val="000000" w:themeColor="text1"/>
          <w:sz w:val="22"/>
          <w:szCs w:val="22"/>
        </w:rPr>
        <w:t xml:space="preserve">the aim of this </w:t>
      </w:r>
      <w:r w:rsidRPr="00DD3983" w:rsidR="009D78CC">
        <w:rPr>
          <w:rFonts w:ascii="Arial" w:hAnsi="Arial" w:cs="Arial"/>
          <w:color w:val="000000" w:themeColor="text1"/>
          <w:sz w:val="22"/>
          <w:szCs w:val="22"/>
        </w:rPr>
        <w:t>scoping</w:t>
      </w:r>
      <w:r w:rsidRPr="00DD3983" w:rsidR="00D679CF">
        <w:rPr>
          <w:rFonts w:ascii="Arial" w:hAnsi="Arial" w:cs="Arial"/>
          <w:color w:val="000000" w:themeColor="text1"/>
          <w:sz w:val="22"/>
          <w:szCs w:val="22"/>
        </w:rPr>
        <w:t xml:space="preserve"> review is to investigate cross-disciplinary barriers to early AD diagnosis and to propose integrated </w:t>
      </w:r>
      <w:r w:rsidRPr="00DD3983" w:rsidR="002D4249">
        <w:rPr>
          <w:rFonts w:ascii="Arial" w:hAnsi="Arial" w:cs="Arial"/>
          <w:color w:val="000000" w:themeColor="text1"/>
          <w:sz w:val="22"/>
          <w:szCs w:val="22"/>
        </w:rPr>
        <w:t>and ut</w:t>
      </w:r>
      <w:r w:rsidRPr="00DD3983" w:rsidR="00913C0F">
        <w:rPr>
          <w:rFonts w:ascii="Arial" w:hAnsi="Arial" w:cs="Arial"/>
          <w:color w:val="000000" w:themeColor="text1"/>
          <w:sz w:val="22"/>
          <w:szCs w:val="22"/>
        </w:rPr>
        <w:t>ilizable</w:t>
      </w:r>
      <w:r w:rsidRPr="00DD3983" w:rsidR="00471C2D">
        <w:rPr>
          <w:rFonts w:ascii="Arial" w:hAnsi="Arial" w:cs="Arial"/>
          <w:color w:val="000000" w:themeColor="text1"/>
          <w:sz w:val="22"/>
          <w:szCs w:val="22"/>
        </w:rPr>
        <w:t xml:space="preserve"> </w:t>
      </w:r>
      <w:r w:rsidRPr="00DD3983" w:rsidR="00D679CF">
        <w:rPr>
          <w:rFonts w:ascii="Arial" w:hAnsi="Arial" w:cs="Arial"/>
          <w:color w:val="000000" w:themeColor="text1"/>
          <w:sz w:val="22"/>
          <w:szCs w:val="22"/>
        </w:rPr>
        <w:t xml:space="preserve">recommendations. By addressing AD in this fashion, we seek to bridge existing gaps and facilitate a more robust, </w:t>
      </w:r>
      <w:r w:rsidRPr="00DD3983" w:rsidR="00B73003">
        <w:rPr>
          <w:rFonts w:ascii="Arial" w:hAnsi="Arial" w:cs="Arial"/>
          <w:color w:val="000000" w:themeColor="text1"/>
          <w:sz w:val="22"/>
          <w:szCs w:val="22"/>
        </w:rPr>
        <w:t xml:space="preserve">sustainable, and </w:t>
      </w:r>
      <w:r w:rsidRPr="00DD3983" w:rsidR="00D679CF">
        <w:rPr>
          <w:rFonts w:ascii="Arial" w:hAnsi="Arial" w:cs="Arial"/>
          <w:color w:val="000000" w:themeColor="text1"/>
          <w:sz w:val="22"/>
          <w:szCs w:val="22"/>
        </w:rPr>
        <w:t xml:space="preserve">interdisciplinary approach to </w:t>
      </w:r>
      <w:r w:rsidRPr="00DD3983" w:rsidR="006F1DF2">
        <w:rPr>
          <w:rFonts w:ascii="Arial" w:hAnsi="Arial" w:cs="Arial"/>
          <w:color w:val="000000" w:themeColor="text1"/>
          <w:sz w:val="22"/>
          <w:szCs w:val="22"/>
        </w:rPr>
        <w:t>mitigate</w:t>
      </w:r>
      <w:r w:rsidRPr="00DD3983" w:rsidR="00D679CF">
        <w:rPr>
          <w:rFonts w:ascii="Arial" w:hAnsi="Arial" w:cs="Arial"/>
          <w:color w:val="000000" w:themeColor="text1"/>
          <w:sz w:val="22"/>
          <w:szCs w:val="22"/>
        </w:rPr>
        <w:t xml:space="preserve"> the </w:t>
      </w:r>
      <w:r w:rsidRPr="00DD3983" w:rsidR="004C7055">
        <w:rPr>
          <w:rFonts w:ascii="Arial" w:hAnsi="Arial" w:cs="Arial"/>
          <w:color w:val="000000" w:themeColor="text1"/>
          <w:sz w:val="22"/>
          <w:szCs w:val="22"/>
        </w:rPr>
        <w:t xml:space="preserve">looming </w:t>
      </w:r>
      <w:r w:rsidRPr="00DD3983" w:rsidR="00D679CF">
        <w:rPr>
          <w:rFonts w:ascii="Arial" w:hAnsi="Arial" w:cs="Arial"/>
          <w:color w:val="000000" w:themeColor="text1"/>
          <w:sz w:val="22"/>
          <w:szCs w:val="22"/>
        </w:rPr>
        <w:t>impact of this devastating disease</w:t>
      </w:r>
      <w:r w:rsidRPr="00DD3983" w:rsidR="004C69FC">
        <w:rPr>
          <w:rFonts w:ascii="Arial" w:hAnsi="Arial" w:cs="Arial"/>
          <w:color w:val="000000" w:themeColor="text1"/>
          <w:sz w:val="22"/>
          <w:szCs w:val="22"/>
        </w:rPr>
        <w:t>.</w:t>
      </w:r>
    </w:p>
    <w:p w:rsidRPr="00F6306A" w:rsidR="00F6306A" w:rsidP="006618CC" w:rsidRDefault="00F6306A" w14:paraId="3EBF22D7" w14:textId="77777777">
      <w:pPr>
        <w:jc w:val="both"/>
        <w:rPr>
          <w:rFonts w:ascii="Arial" w:hAnsi="Arial" w:cs="Arial"/>
          <w:color w:val="000000" w:themeColor="text1"/>
          <w:sz w:val="22"/>
          <w:szCs w:val="22"/>
        </w:rPr>
      </w:pPr>
    </w:p>
    <w:p w:rsidRPr="00DD3983" w:rsidR="00B07C00" w:rsidP="00F6306A" w:rsidRDefault="003149A6" w14:paraId="7243C521" w14:textId="2F9E5D62">
      <w:pPr>
        <w:pStyle w:val="Heading1"/>
        <w:spacing w:before="0"/>
      </w:pPr>
      <w:r w:rsidRPr="00DD3983">
        <w:t>Methods</w:t>
      </w:r>
    </w:p>
    <w:p w:rsidRPr="00DD3983" w:rsidR="006B67C8" w:rsidP="00F6306A" w:rsidRDefault="006B67C8" w14:paraId="09425627" w14:textId="6BD371A4">
      <w:pPr>
        <w:pStyle w:val="paragraph"/>
        <w:spacing w:before="0" w:beforeAutospacing="0" w:after="0"/>
        <w:jc w:val="both"/>
        <w:textAlignment w:val="baseline"/>
        <w:rPr>
          <w:rFonts w:ascii="Arial" w:hAnsi="Arial" w:cs="Arial"/>
          <w:sz w:val="22"/>
          <w:szCs w:val="22"/>
        </w:rPr>
      </w:pPr>
      <w:r w:rsidRPr="00DD3983">
        <w:rPr>
          <w:rFonts w:ascii="Arial" w:hAnsi="Arial" w:cs="Arial"/>
          <w:sz w:val="22"/>
          <w:szCs w:val="22"/>
        </w:rPr>
        <w:t xml:space="preserve">A comprehensive systematic literature search </w:t>
      </w:r>
      <w:proofErr w:type="gramStart"/>
      <w:r w:rsidRPr="00DD3983">
        <w:rPr>
          <w:rFonts w:ascii="Arial" w:hAnsi="Arial" w:cs="Arial"/>
          <w:sz w:val="22"/>
          <w:szCs w:val="22"/>
        </w:rPr>
        <w:t>was conducted</w:t>
      </w:r>
      <w:proofErr w:type="gramEnd"/>
      <w:r w:rsidRPr="00DD3983">
        <w:rPr>
          <w:rFonts w:ascii="Arial" w:hAnsi="Arial" w:cs="Arial"/>
          <w:sz w:val="22"/>
          <w:szCs w:val="22"/>
        </w:rPr>
        <w:t xml:space="preserve"> using the Medline database, accessed through both PubMed and ProQuest platforms. This dual-platform approach </w:t>
      </w:r>
      <w:proofErr w:type="gramStart"/>
      <w:r w:rsidRPr="00DD3983">
        <w:rPr>
          <w:rFonts w:ascii="Arial" w:hAnsi="Arial" w:cs="Arial"/>
          <w:sz w:val="22"/>
          <w:szCs w:val="22"/>
        </w:rPr>
        <w:t>was implemented</w:t>
      </w:r>
      <w:proofErr w:type="gramEnd"/>
      <w:r w:rsidRPr="00DD3983">
        <w:rPr>
          <w:rFonts w:ascii="Arial" w:hAnsi="Arial" w:cs="Arial"/>
          <w:sz w:val="22"/>
          <w:szCs w:val="22"/>
        </w:rPr>
        <w:t xml:space="preserve"> to maximize the retrieval of relevant literature while minimizing the risk of missing important publications. As noted in the NIA-AA Research Framework, Alzheimer's disease diagnosis involves multiple </w:t>
      </w:r>
      <w:r w:rsidRPr="00DD3983" w:rsidR="002C368E">
        <w:rPr>
          <w:rFonts w:ascii="Arial" w:hAnsi="Arial" w:cs="Arial"/>
          <w:sz w:val="22"/>
          <w:szCs w:val="22"/>
        </w:rPr>
        <w:t>disciplines</w:t>
      </w:r>
      <w:r w:rsidRPr="00DD3983">
        <w:rPr>
          <w:rFonts w:ascii="Arial" w:hAnsi="Arial" w:cs="Arial"/>
          <w:sz w:val="22"/>
          <w:szCs w:val="22"/>
        </w:rPr>
        <w:t xml:space="preserve"> including cognition, biomarkers, neuroimaging, </w:t>
      </w:r>
      <w:r w:rsidRPr="00DD3983" w:rsidR="0093109E">
        <w:rPr>
          <w:rFonts w:ascii="Arial" w:hAnsi="Arial" w:cs="Arial"/>
          <w:sz w:val="22"/>
          <w:szCs w:val="22"/>
        </w:rPr>
        <w:t>and public health</w:t>
      </w:r>
      <w:r w:rsidRPr="00DD3983">
        <w:rPr>
          <w:rFonts w:ascii="Arial" w:hAnsi="Arial" w:cs="Arial"/>
          <w:sz w:val="22"/>
          <w:szCs w:val="22"/>
        </w:rPr>
        <w:t>, necessitating a topic-specific search strategy to adequately cover each distinct area</w:t>
      </w:r>
      <w:r w:rsidR="00A13316">
        <w:rPr>
          <w:rFonts w:ascii="Arial" w:hAnsi="Arial" w:cs="Arial"/>
          <w:sz w:val="22"/>
          <w:szCs w:val="22"/>
        </w:rPr>
        <w:t>.</w:t>
      </w:r>
      <w:r w:rsidRPr="00DD3983" w:rsidR="008D2D0A">
        <w:rPr>
          <w:rFonts w:ascii="Arial" w:hAnsi="Arial" w:cs="Arial"/>
          <w:sz w:val="22"/>
          <w:szCs w:val="22"/>
        </w:rPr>
        <w:fldChar w:fldCharType="begin"/>
      </w:r>
      <w:r w:rsidR="00025355">
        <w:rPr>
          <w:rFonts w:ascii="Arial" w:hAnsi="Arial" w:cs="Arial"/>
          <w:sz w:val="22"/>
          <w:szCs w:val="22"/>
        </w:rPr>
        <w:instrText xml:space="preserve"> ADDIN ZOTERO_ITEM CSL_CITATION {"citationID":"rTw409jw","properties":{"formattedCitation":"\\super 1\\nosupersub{}","plainCitation":"1","noteIndex":0},"citationItems":[{"id":1986,"uris":["http://zotero.org/users/10927406/items/TEUQGIFB"],"itemData":{"id":1986,"type":"article-journal","abstract":"In 2011, the National Institute on Aging and Alzheimer's Association created separate diagnostic recommendations for the preclinical, mild cognitive impairment, and dementia stages of Alzheimer's disease. Scientific progress in the interim led to an initiative by the National Institute on Aging and Alzheimer's Association to update and unify the 2011 guidelines. This unifying update is labeled a “research framework” because its intended use is for observational and interventional research, not routine clinical care. In the National Institute on Aging and Alzheimer's Association Research Framework, Alzheimer's disease (AD) is defined by its underlying pathologic processes that can be documented by postmortem examination or in vivo by biomarkers. The diagnosis is not based on the clinical consequences of the disease (i.e., symptoms/signs) in this research framework, which shifts the definition of AD in living people from a syndromal to a biological construct. The research framework focuses on the diagnosis of AD with biomarkers in living persons. Biomarkers are grouped into those of β amyloid deposition, pathologic tau, and neurodegeneration [AT(N)]. This ATN classification system groups different biomarkers (imaging and biofluids) by the pathologic process each measures. The AT(N) system is flexible in that new biomarkers can be added to the three existing AT(N) groups, and new biomarker groups beyond AT(N) can be added when they become available. We focus on AD as a continuum, and cognitive staging may be accomplished using continuous measures. However, we also outline two different categorical cognitive schemes for staging the severity of cognitive impairment: a scheme using three traditional syndromal categories and a six-stage numeric scheme. It is important to stress that this framework seeks to create a common language with which investigators can generate and test hypotheses about the interactions among different pathologic processes (denoted by biomarkers) and cognitive symptoms. We appreciate the concern that this biomarker-based research framework has the potential to be misused. Therefore, we emphasize, first, it is premature and inappropriate to use this research framework in general medical practice. Second, this research framework should not be used to restrict alternative approaches to hypothesis testing that do not use biomarkers. There will be situations where biomarkers are not available or requiring them would be counterproductive to the specific research goals (discussed in more detail later in the document). Thus, biomarker-based research should not be considered a template for all research into age-related cognitive impairment and dementia; rather, it should be applied when it is fit for the purpose of the specific research goals of a study. Importantly, this framework should be examined in diverse populations. Although it is possible that β-amyloid plaques and neurofibrillary tau deposits are not causal in AD pathogenesis, it is these abnormal protein deposits that define AD as a unique neurodegenerative disease among different disorders that can lead to dementia. We envision that defining AD as a biological construct will enable a more accurate characterization and understanding of the sequence of events that lead to cognitive impairment that is associated with AD, as well as the multifactorial etiology of dementia. This approach also will enable a more precise approach to interventional trials where specific pathways can be targeted in the disease process and in the appropriate people.","container-title":"Alzheimer's &amp; Dementia","DOI":"10.1016/j.jalz.2018.02.018","ISSN":"1552-5260","issue":"4","journalAbbreviation":"Alzheimer's &amp; Dementia","page":"535-562","source":"ScienceDirect","title":"NIA-AA Research Framework: Toward a biological definition of Alzheimer's disease","title-short":"NIA-AA Research Framework","volume":"14","author":[{"family":"Jack","given":"Clifford R."},{"family":"Bennett","given":"David A."},{"family":"Blennow","given":"Kaj"},{"family":"Carrillo","given":"Maria C."},{"family":"Dunn","given":"Billy"},{"family":"Haeberlein","given":"Samantha Budd"},{"family":"Holtzman","given":"David M."},{"family":"Jagust","given":"William"},{"family":"Jessen","given":"Frank"},{"family":"Karlawish","given":"Jason"},{"family":"Liu","given":"Enchi"},{"family":"Molinuevo","given":"Jose Luis"},{"family":"Montine","given":"Thomas"},{"family":"Phelps","given":"Creighton"},{"family":"Rankin","given":"Katherine P."},{"family":"Rowe","given":"Christopher C."},{"family":"Scheltens","given":"Philip"},{"family":"Siemers","given":"Eric"},{"family":"Snyder","given":"Heather M."},{"family":"Sperling","given":"Reisa"},{"family":"Elliott","given":"Cerise"},{"family":"Masliah","given":"Eliezer"},{"family":"Ryan","given":"Laurie"},{"family":"Silverberg","given":"Nina"}],"issued":{"date-parts":[["2018",4,1]]}}}],"schema":"https://github.com/citation-style-language/schema/raw/master/csl-citation.json"} </w:instrText>
      </w:r>
      <w:r w:rsidRPr="00DD3983" w:rsidR="008D2D0A">
        <w:rPr>
          <w:rFonts w:ascii="Arial" w:hAnsi="Arial" w:cs="Arial"/>
          <w:sz w:val="22"/>
          <w:szCs w:val="22"/>
        </w:rPr>
        <w:fldChar w:fldCharType="separate"/>
      </w:r>
      <w:r w:rsidRPr="00025355" w:rsidR="00025355">
        <w:rPr>
          <w:rFonts w:ascii="Arial" w:hAnsi="Arial" w:cs="Arial"/>
          <w:sz w:val="22"/>
          <w:vertAlign w:val="superscript"/>
        </w:rPr>
        <w:t>1</w:t>
      </w:r>
      <w:r w:rsidRPr="00DD3983" w:rsidR="008D2D0A">
        <w:rPr>
          <w:rFonts w:ascii="Arial" w:hAnsi="Arial" w:cs="Arial"/>
          <w:sz w:val="22"/>
          <w:szCs w:val="22"/>
        </w:rPr>
        <w:fldChar w:fldCharType="end"/>
      </w:r>
    </w:p>
    <w:p w:rsidRPr="00DD3983" w:rsidR="008F4D43" w:rsidP="006618CC" w:rsidRDefault="003149A6" w14:paraId="53624325" w14:textId="5A0DDF64">
      <w:pPr>
        <w:pStyle w:val="paragraph"/>
        <w:spacing w:before="0" w:after="0"/>
        <w:jc w:val="both"/>
        <w:textAlignment w:val="baseline"/>
        <w:rPr>
          <w:rStyle w:val="normaltextrun"/>
          <w:rFonts w:ascii="Arial" w:hAnsi="Arial" w:cs="Arial" w:eastAsiaTheme="majorEastAsia"/>
          <w:color w:val="000000"/>
          <w:sz w:val="22"/>
          <w:szCs w:val="22"/>
        </w:rPr>
      </w:pPr>
      <w:r w:rsidRPr="00DD3983">
        <w:rPr>
          <w:rStyle w:val="normaltextrun"/>
          <w:rFonts w:ascii="Arial" w:hAnsi="Arial" w:cs="Arial" w:eastAsiaTheme="majorEastAsia"/>
          <w:color w:val="000000"/>
          <w:sz w:val="22"/>
          <w:szCs w:val="22"/>
        </w:rPr>
        <w:t xml:space="preserve">The search strategy consisted of distinct queries tailored to each focus area, utilizing a combination of </w:t>
      </w:r>
      <w:r w:rsidRPr="00DD3983" w:rsidR="007F4552">
        <w:rPr>
          <w:rStyle w:val="normaltextrun"/>
          <w:rFonts w:ascii="Arial" w:hAnsi="Arial" w:cs="Arial" w:eastAsiaTheme="majorEastAsia"/>
          <w:color w:val="000000"/>
          <w:sz w:val="22"/>
          <w:szCs w:val="22"/>
        </w:rPr>
        <w:t>“</w:t>
      </w:r>
      <w:r w:rsidRPr="00DD3983">
        <w:rPr>
          <w:rStyle w:val="normaltextrun"/>
          <w:rFonts w:ascii="Arial" w:hAnsi="Arial" w:cs="Arial" w:eastAsiaTheme="majorEastAsia"/>
          <w:color w:val="000000"/>
          <w:sz w:val="22"/>
          <w:szCs w:val="22"/>
        </w:rPr>
        <w:t>AND</w:t>
      </w:r>
      <w:r w:rsidRPr="00DD3983" w:rsidR="007F4552">
        <w:rPr>
          <w:rStyle w:val="normaltextrun"/>
          <w:rFonts w:ascii="Arial" w:hAnsi="Arial" w:cs="Arial" w:eastAsiaTheme="majorEastAsia"/>
          <w:color w:val="000000"/>
          <w:sz w:val="22"/>
          <w:szCs w:val="22"/>
        </w:rPr>
        <w:t>”</w:t>
      </w:r>
      <w:r w:rsidRPr="00DD3983">
        <w:rPr>
          <w:rStyle w:val="normaltextrun"/>
          <w:rFonts w:ascii="Arial" w:hAnsi="Arial" w:cs="Arial" w:eastAsiaTheme="majorEastAsia"/>
          <w:color w:val="000000"/>
          <w:sz w:val="22"/>
          <w:szCs w:val="22"/>
        </w:rPr>
        <w:t xml:space="preserve"> and </w:t>
      </w:r>
      <w:r w:rsidRPr="00DD3983" w:rsidR="007F4552">
        <w:rPr>
          <w:rStyle w:val="normaltextrun"/>
          <w:rFonts w:ascii="Arial" w:hAnsi="Arial" w:cs="Arial" w:eastAsiaTheme="majorEastAsia"/>
          <w:color w:val="000000"/>
          <w:sz w:val="22"/>
          <w:szCs w:val="22"/>
        </w:rPr>
        <w:t>“</w:t>
      </w:r>
      <w:r w:rsidRPr="00DD3983">
        <w:rPr>
          <w:rStyle w:val="normaltextrun"/>
          <w:rFonts w:ascii="Arial" w:hAnsi="Arial" w:cs="Arial" w:eastAsiaTheme="majorEastAsia"/>
          <w:color w:val="000000"/>
          <w:sz w:val="22"/>
          <w:szCs w:val="22"/>
        </w:rPr>
        <w:t>OR</w:t>
      </w:r>
      <w:r w:rsidRPr="00DD3983" w:rsidR="007F4552">
        <w:rPr>
          <w:rStyle w:val="normaltextrun"/>
          <w:rFonts w:ascii="Arial" w:hAnsi="Arial" w:cs="Arial" w:eastAsiaTheme="majorEastAsia"/>
          <w:color w:val="000000"/>
          <w:sz w:val="22"/>
          <w:szCs w:val="22"/>
        </w:rPr>
        <w:t>”</w:t>
      </w:r>
      <w:r w:rsidRPr="00DD3983">
        <w:rPr>
          <w:rStyle w:val="normaltextrun"/>
          <w:rFonts w:ascii="Arial" w:hAnsi="Arial" w:cs="Arial" w:eastAsiaTheme="majorEastAsia"/>
          <w:color w:val="000000"/>
          <w:sz w:val="22"/>
          <w:szCs w:val="22"/>
        </w:rPr>
        <w:t xml:space="preserve"> </w:t>
      </w:r>
      <w:r w:rsidRPr="00DD3983" w:rsidR="0093109E">
        <w:rPr>
          <w:rStyle w:val="normaltextrun"/>
          <w:rFonts w:ascii="Arial" w:hAnsi="Arial" w:cs="Arial" w:eastAsiaTheme="majorEastAsia"/>
          <w:color w:val="000000"/>
          <w:sz w:val="22"/>
          <w:szCs w:val="22"/>
        </w:rPr>
        <w:t xml:space="preserve">Boolean </w:t>
      </w:r>
      <w:r w:rsidRPr="00DD3983">
        <w:rPr>
          <w:rStyle w:val="normaltextrun"/>
          <w:rFonts w:ascii="Arial" w:hAnsi="Arial" w:cs="Arial" w:eastAsiaTheme="majorEastAsia"/>
          <w:color w:val="000000"/>
          <w:sz w:val="22"/>
          <w:szCs w:val="22"/>
        </w:rPr>
        <w:t xml:space="preserve">operators to maximize </w:t>
      </w:r>
      <w:r w:rsidRPr="00DD3983" w:rsidR="007F4552">
        <w:rPr>
          <w:rStyle w:val="normaltextrun"/>
          <w:rFonts w:ascii="Arial" w:hAnsi="Arial" w:cs="Arial" w:eastAsiaTheme="majorEastAsia"/>
          <w:color w:val="000000"/>
          <w:sz w:val="22"/>
          <w:szCs w:val="22"/>
        </w:rPr>
        <w:t>specificity</w:t>
      </w:r>
      <w:r w:rsidRPr="00DD3983">
        <w:rPr>
          <w:rStyle w:val="normaltextrun"/>
          <w:rFonts w:ascii="Arial" w:hAnsi="Arial" w:cs="Arial" w:eastAsiaTheme="majorEastAsia"/>
          <w:color w:val="000000"/>
          <w:sz w:val="22"/>
          <w:szCs w:val="22"/>
        </w:rPr>
        <w:t xml:space="preserve">. </w:t>
      </w:r>
      <w:r w:rsidRPr="00DD3983" w:rsidR="00DF1D0A">
        <w:rPr>
          <w:rStyle w:val="normaltextrun"/>
          <w:rFonts w:ascii="Arial" w:hAnsi="Arial" w:cs="Arial" w:eastAsiaTheme="majorEastAsia"/>
          <w:color w:val="000000"/>
          <w:sz w:val="22"/>
          <w:szCs w:val="22"/>
        </w:rPr>
        <w:t xml:space="preserve">Table 1. </w:t>
      </w:r>
      <w:r w:rsidRPr="00DD3983" w:rsidR="00F47718">
        <w:rPr>
          <w:rStyle w:val="normaltextrun"/>
          <w:rFonts w:ascii="Arial" w:hAnsi="Arial" w:cs="Arial" w:eastAsiaTheme="majorEastAsia"/>
          <w:color w:val="000000"/>
          <w:sz w:val="22"/>
          <w:szCs w:val="22"/>
        </w:rPr>
        <w:t>i</w:t>
      </w:r>
      <w:r w:rsidRPr="00DD3983" w:rsidR="00DF1D0A">
        <w:rPr>
          <w:rStyle w:val="normaltextrun"/>
          <w:rFonts w:ascii="Arial" w:hAnsi="Arial" w:cs="Arial" w:eastAsiaTheme="majorEastAsia"/>
          <w:color w:val="000000"/>
          <w:sz w:val="22"/>
          <w:szCs w:val="22"/>
        </w:rPr>
        <w:t xml:space="preserve">llustrates the </w:t>
      </w:r>
      <w:r w:rsidRPr="00DD3983" w:rsidR="008A5766">
        <w:rPr>
          <w:rStyle w:val="normaltextrun"/>
          <w:rFonts w:ascii="Arial" w:hAnsi="Arial" w:cs="Arial" w:eastAsiaTheme="majorEastAsia"/>
          <w:color w:val="000000"/>
          <w:sz w:val="22"/>
          <w:szCs w:val="22"/>
        </w:rPr>
        <w:t>specific search strings</w:t>
      </w:r>
      <w:r w:rsidRPr="00DD3983">
        <w:rPr>
          <w:rStyle w:val="normaltextrun"/>
          <w:rFonts w:ascii="Arial" w:hAnsi="Arial" w:cs="Arial" w:eastAsiaTheme="majorEastAsia"/>
          <w:color w:val="000000"/>
          <w:sz w:val="22"/>
          <w:szCs w:val="22"/>
        </w:rPr>
        <w:t xml:space="preserve"> </w:t>
      </w:r>
      <w:r w:rsidRPr="00DD3983" w:rsidR="00DF1D0A">
        <w:rPr>
          <w:rStyle w:val="normaltextrun"/>
          <w:rFonts w:ascii="Arial" w:hAnsi="Arial" w:cs="Arial" w:eastAsiaTheme="majorEastAsia"/>
          <w:color w:val="000000"/>
          <w:sz w:val="22"/>
          <w:szCs w:val="22"/>
        </w:rPr>
        <w:t xml:space="preserve">that </w:t>
      </w:r>
      <w:proofErr w:type="gramStart"/>
      <w:r w:rsidRPr="00DD3983">
        <w:rPr>
          <w:rStyle w:val="normaltextrun"/>
          <w:rFonts w:ascii="Arial" w:hAnsi="Arial" w:cs="Arial" w:eastAsiaTheme="majorEastAsia"/>
          <w:color w:val="000000"/>
          <w:sz w:val="22"/>
          <w:szCs w:val="22"/>
        </w:rPr>
        <w:t>were separately</w:t>
      </w:r>
      <w:r w:rsidRPr="00DD3983" w:rsidR="00AB3048">
        <w:rPr>
          <w:rStyle w:val="normaltextrun"/>
          <w:rFonts w:ascii="Arial" w:hAnsi="Arial" w:cs="Arial" w:eastAsiaTheme="majorEastAsia"/>
          <w:color w:val="000000"/>
          <w:sz w:val="22"/>
          <w:szCs w:val="22"/>
        </w:rPr>
        <w:t xml:space="preserve"> </w:t>
      </w:r>
      <w:r w:rsidRPr="00DD3983" w:rsidR="0093109E">
        <w:rPr>
          <w:rStyle w:val="normaltextrun"/>
          <w:rFonts w:ascii="Arial" w:hAnsi="Arial" w:cs="Arial" w:eastAsiaTheme="majorEastAsia"/>
          <w:color w:val="000000"/>
          <w:sz w:val="22"/>
          <w:szCs w:val="22"/>
        </w:rPr>
        <w:t>and later combined</w:t>
      </w:r>
      <w:proofErr w:type="gramEnd"/>
      <w:r w:rsidRPr="00DD3983" w:rsidR="0093109E">
        <w:rPr>
          <w:rStyle w:val="normaltextrun"/>
          <w:rFonts w:ascii="Arial" w:hAnsi="Arial" w:cs="Arial" w:eastAsiaTheme="majorEastAsia"/>
          <w:color w:val="000000"/>
          <w:sz w:val="22"/>
          <w:szCs w:val="22"/>
        </w:rPr>
        <w:t xml:space="preserve"> into Covidence</w:t>
      </w:r>
      <w:r w:rsidRPr="00DD3983" w:rsidR="00582F8F">
        <w:rPr>
          <w:rStyle w:val="normaltextrun"/>
          <w:rFonts w:ascii="Arial" w:hAnsi="Arial" w:cs="Arial" w:eastAsiaTheme="majorEastAsia"/>
          <w:color w:val="000000"/>
          <w:sz w:val="22"/>
          <w:szCs w:val="22"/>
        </w:rPr>
        <w:t xml:space="preserve"> to </w:t>
      </w:r>
      <w:r w:rsidRPr="00DD3983" w:rsidR="008A5766">
        <w:rPr>
          <w:rStyle w:val="normaltextrun"/>
          <w:rFonts w:ascii="Arial" w:hAnsi="Arial" w:cs="Arial" w:eastAsiaTheme="majorEastAsia"/>
          <w:color w:val="000000"/>
          <w:sz w:val="22"/>
          <w:szCs w:val="22"/>
        </w:rPr>
        <w:t>filter duplicates</w:t>
      </w:r>
      <w:r w:rsidRPr="00DD3983" w:rsidR="00582F8F">
        <w:rPr>
          <w:rStyle w:val="normaltextrun"/>
          <w:rFonts w:ascii="Arial" w:hAnsi="Arial" w:cs="Arial" w:eastAsiaTheme="majorEastAsia"/>
          <w:color w:val="000000"/>
          <w:sz w:val="22"/>
          <w:szCs w:val="22"/>
        </w:rPr>
        <w:t>. The combined searches yielded a total of 927 articles</w:t>
      </w:r>
      <w:r w:rsidRPr="00DD3983" w:rsidR="008A5766">
        <w:rPr>
          <w:rStyle w:val="normaltextrun"/>
          <w:rFonts w:ascii="Arial" w:hAnsi="Arial" w:cs="Arial" w:eastAsiaTheme="majorEastAsia"/>
          <w:color w:val="000000"/>
          <w:sz w:val="22"/>
          <w:szCs w:val="22"/>
        </w:rPr>
        <w:t xml:space="preserve"> which then progressed to our screening process</w:t>
      </w:r>
      <w:r w:rsidRPr="00DD3983" w:rsidR="00D16511">
        <w:rPr>
          <w:rStyle w:val="normaltextrun"/>
          <w:rFonts w:ascii="Arial" w:hAnsi="Arial" w:cs="Arial" w:eastAsiaTheme="majorEastAsia"/>
          <w:color w:val="000000"/>
          <w:sz w:val="22"/>
          <w:szCs w:val="22"/>
        </w:rPr>
        <w:t>.</w:t>
      </w:r>
      <w:r w:rsidRPr="00DD3983" w:rsidR="00327DC3">
        <w:rPr>
          <w:rStyle w:val="normaltextrun"/>
          <w:rFonts w:ascii="Arial" w:hAnsi="Arial" w:cs="Arial" w:eastAsiaTheme="majorEastAsia"/>
          <w:color w:val="000000"/>
          <w:sz w:val="22"/>
          <w:szCs w:val="22"/>
        </w:rPr>
        <w:t xml:space="preserve"> Due to the high research output of imaging and biomarker papers, these searchers </w:t>
      </w:r>
      <w:proofErr w:type="gramStart"/>
      <w:r w:rsidRPr="00DD3983" w:rsidR="00327DC3">
        <w:rPr>
          <w:rStyle w:val="normaltextrun"/>
          <w:rFonts w:ascii="Arial" w:hAnsi="Arial" w:cs="Arial" w:eastAsiaTheme="majorEastAsia"/>
          <w:color w:val="000000"/>
          <w:sz w:val="22"/>
          <w:szCs w:val="22"/>
        </w:rPr>
        <w:t>were limited</w:t>
      </w:r>
      <w:proofErr w:type="gramEnd"/>
      <w:r w:rsidRPr="00DD3983" w:rsidR="00327DC3">
        <w:rPr>
          <w:rStyle w:val="normaltextrun"/>
          <w:rFonts w:ascii="Arial" w:hAnsi="Arial" w:cs="Arial" w:eastAsiaTheme="majorEastAsia"/>
          <w:color w:val="000000"/>
          <w:sz w:val="22"/>
          <w:szCs w:val="22"/>
        </w:rPr>
        <w:t xml:space="preserve"> to the last 5 years </w:t>
      </w:r>
      <w:r w:rsidRPr="00DD3983" w:rsidR="007B1818">
        <w:rPr>
          <w:rStyle w:val="normaltextrun"/>
          <w:rFonts w:ascii="Arial" w:hAnsi="Arial" w:cs="Arial" w:eastAsiaTheme="majorEastAsia"/>
          <w:color w:val="000000"/>
          <w:sz w:val="22"/>
          <w:szCs w:val="22"/>
        </w:rPr>
        <w:t xml:space="preserve">from November </w:t>
      </w:r>
      <w:r w:rsidRPr="00DD3983" w:rsidR="00B668BF">
        <w:rPr>
          <w:rStyle w:val="normaltextrun"/>
          <w:rFonts w:ascii="Arial" w:hAnsi="Arial" w:cs="Arial" w:eastAsiaTheme="majorEastAsia"/>
          <w:color w:val="000000"/>
          <w:sz w:val="22"/>
          <w:szCs w:val="22"/>
        </w:rPr>
        <w:t xml:space="preserve">2019- </w:t>
      </w:r>
      <w:r w:rsidRPr="00DD3983" w:rsidR="007B1818">
        <w:rPr>
          <w:rStyle w:val="normaltextrun"/>
          <w:rFonts w:ascii="Arial" w:hAnsi="Arial" w:cs="Arial" w:eastAsiaTheme="majorEastAsia"/>
          <w:color w:val="000000"/>
          <w:sz w:val="22"/>
          <w:szCs w:val="22"/>
        </w:rPr>
        <w:t>November 2024</w:t>
      </w:r>
      <w:r w:rsidRPr="00DD3983" w:rsidR="00327DC3">
        <w:rPr>
          <w:rStyle w:val="normaltextrun"/>
          <w:rFonts w:ascii="Arial" w:hAnsi="Arial" w:cs="Arial" w:eastAsiaTheme="majorEastAsia"/>
          <w:color w:val="000000"/>
          <w:sz w:val="22"/>
          <w:szCs w:val="22"/>
        </w:rPr>
        <w:t xml:space="preserve"> </w:t>
      </w:r>
      <w:r w:rsidRPr="00DD3983" w:rsidR="005C4930">
        <w:rPr>
          <w:rStyle w:val="normaltextrun"/>
          <w:rFonts w:ascii="Arial" w:hAnsi="Arial" w:cs="Arial" w:eastAsiaTheme="majorEastAsia"/>
          <w:color w:val="000000"/>
          <w:sz w:val="22"/>
          <w:szCs w:val="22"/>
        </w:rPr>
        <w:t>while public health and cognitive assessment topics were left open</w:t>
      </w:r>
      <w:r w:rsidRPr="00DD3983" w:rsidR="004C7C06">
        <w:rPr>
          <w:rStyle w:val="normaltextrun"/>
          <w:rFonts w:ascii="Arial" w:hAnsi="Arial" w:cs="Arial" w:eastAsiaTheme="majorEastAsia"/>
          <w:color w:val="000000"/>
          <w:sz w:val="22"/>
          <w:szCs w:val="22"/>
        </w:rPr>
        <w:t xml:space="preserve"> in a search ranging from </w:t>
      </w:r>
      <w:r w:rsidRPr="00DD3983" w:rsidR="00CB34FD">
        <w:rPr>
          <w:rStyle w:val="normaltextrun"/>
          <w:rFonts w:ascii="Arial" w:hAnsi="Arial" w:cs="Arial" w:eastAsiaTheme="majorEastAsia"/>
          <w:color w:val="000000"/>
          <w:sz w:val="22"/>
          <w:szCs w:val="22"/>
        </w:rPr>
        <w:t>January</w:t>
      </w:r>
      <w:r w:rsidRPr="00DD3983" w:rsidR="00BB23A3">
        <w:rPr>
          <w:rStyle w:val="normaltextrun"/>
          <w:rFonts w:ascii="Arial" w:hAnsi="Arial" w:cs="Arial" w:eastAsiaTheme="majorEastAsia"/>
          <w:color w:val="000000"/>
          <w:sz w:val="22"/>
          <w:szCs w:val="22"/>
        </w:rPr>
        <w:t xml:space="preserve"> 2000</w:t>
      </w:r>
      <w:r w:rsidRPr="00DD3983" w:rsidR="00CB34FD">
        <w:rPr>
          <w:rStyle w:val="normaltextrun"/>
          <w:rFonts w:ascii="Arial" w:hAnsi="Arial" w:cs="Arial" w:eastAsiaTheme="majorEastAsia"/>
          <w:color w:val="000000"/>
          <w:sz w:val="22"/>
          <w:szCs w:val="22"/>
        </w:rPr>
        <w:t xml:space="preserve"> </w:t>
      </w:r>
      <w:r w:rsidRPr="00DD3983" w:rsidR="00BB23A3">
        <w:rPr>
          <w:rStyle w:val="normaltextrun"/>
          <w:rFonts w:ascii="Arial" w:hAnsi="Arial" w:cs="Arial" w:eastAsiaTheme="majorEastAsia"/>
          <w:color w:val="000000"/>
          <w:sz w:val="22"/>
          <w:szCs w:val="22"/>
        </w:rPr>
        <w:t>-</w:t>
      </w:r>
      <w:r w:rsidRPr="00DD3983" w:rsidR="00FD345D">
        <w:rPr>
          <w:rStyle w:val="normaltextrun"/>
          <w:rFonts w:ascii="Arial" w:hAnsi="Arial" w:cs="Arial" w:eastAsiaTheme="majorEastAsia"/>
          <w:color w:val="000000"/>
          <w:sz w:val="22"/>
          <w:szCs w:val="22"/>
        </w:rPr>
        <w:t xml:space="preserve"> November</w:t>
      </w:r>
      <w:r w:rsidRPr="00DD3983" w:rsidR="00CB34FD">
        <w:rPr>
          <w:rStyle w:val="normaltextrun"/>
          <w:rFonts w:ascii="Arial" w:hAnsi="Arial" w:cs="Arial" w:eastAsiaTheme="majorEastAsia"/>
          <w:color w:val="000000"/>
          <w:sz w:val="22"/>
          <w:szCs w:val="22"/>
        </w:rPr>
        <w:t xml:space="preserve"> </w:t>
      </w:r>
      <w:r w:rsidRPr="00DD3983" w:rsidR="00943296">
        <w:rPr>
          <w:rStyle w:val="normaltextrun"/>
          <w:rFonts w:ascii="Arial" w:hAnsi="Arial" w:cs="Arial" w:eastAsiaTheme="majorEastAsia"/>
          <w:color w:val="000000"/>
          <w:sz w:val="22"/>
          <w:szCs w:val="22"/>
        </w:rPr>
        <w:t>2024</w:t>
      </w:r>
      <w:r w:rsidRPr="00DD3983" w:rsidR="00CB34FD">
        <w:rPr>
          <w:rStyle w:val="normaltextrun"/>
          <w:rFonts w:ascii="Arial" w:hAnsi="Arial" w:cs="Arial" w:eastAsiaTheme="majorEastAsia"/>
          <w:color w:val="000000"/>
          <w:sz w:val="22"/>
          <w:szCs w:val="22"/>
        </w:rPr>
        <w:t>.</w:t>
      </w:r>
    </w:p>
    <w:tbl>
      <w:tblPr>
        <w:tblStyle w:val="GridTable6Colorful"/>
        <w:tblW w:w="0" w:type="auto"/>
        <w:tblLayout w:type="fixed"/>
        <w:tblLook w:val="04A0" w:firstRow="1" w:lastRow="0" w:firstColumn="1" w:lastColumn="0" w:noHBand="0" w:noVBand="1"/>
      </w:tblPr>
      <w:tblGrid>
        <w:gridCol w:w="1696"/>
        <w:gridCol w:w="3686"/>
        <w:gridCol w:w="3968"/>
      </w:tblGrid>
      <w:tr w:rsidRPr="008C2B97" w:rsidR="00CE538A" w:rsidTr="00210E75" w14:paraId="1F6FF569"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gridSpan w:val="3"/>
          </w:tcPr>
          <w:p w:rsidRPr="008C2B97" w:rsidR="00CE538A" w:rsidP="006618CC" w:rsidRDefault="00CE538A" w14:paraId="2E737C2F" w14:textId="708B32EB">
            <w:pPr>
              <w:pStyle w:val="paragraph"/>
              <w:spacing w:before="0" w:beforeAutospacing="0" w:after="0" w:afterAutospacing="0"/>
              <w:textAlignment w:val="baseline"/>
              <w:rPr>
                <w:rFonts w:ascii="Arial" w:hAnsi="Arial" w:cs="Arial"/>
                <w:sz w:val="20"/>
                <w:szCs w:val="20"/>
              </w:rPr>
            </w:pPr>
            <w:r w:rsidRPr="008C2B97">
              <w:rPr>
                <w:rFonts w:ascii="Arial" w:hAnsi="Arial" w:cs="Arial"/>
                <w:sz w:val="20"/>
                <w:szCs w:val="20"/>
              </w:rPr>
              <w:t xml:space="preserve">Medline Database Seach </w:t>
            </w:r>
            <w:r w:rsidRPr="008C2B97" w:rsidR="003D2C4F">
              <w:rPr>
                <w:rFonts w:ascii="Arial" w:hAnsi="Arial" w:cs="Arial"/>
                <w:sz w:val="20"/>
                <w:szCs w:val="20"/>
              </w:rPr>
              <w:t xml:space="preserve">String </w:t>
            </w:r>
            <w:r w:rsidRPr="008C2B97" w:rsidR="001E3659">
              <w:rPr>
                <w:rFonts w:ascii="Arial" w:hAnsi="Arial" w:cs="Arial"/>
                <w:sz w:val="20"/>
                <w:szCs w:val="20"/>
              </w:rPr>
              <w:t>Summary</w:t>
            </w:r>
          </w:p>
        </w:tc>
      </w:tr>
      <w:tr w:rsidRPr="008C2B97" w:rsidR="00CE538A" w:rsidTr="00E753E1" w14:paraId="36548C56"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rsidRPr="008C2B97" w:rsidR="00CE538A" w:rsidP="006618CC" w:rsidRDefault="001E3659" w14:paraId="647430B8" w14:textId="2EBC4666">
            <w:pPr>
              <w:pStyle w:val="paragraph"/>
              <w:spacing w:before="0" w:beforeAutospacing="0" w:after="0" w:afterAutospacing="0"/>
              <w:textAlignment w:val="baseline"/>
              <w:rPr>
                <w:rFonts w:ascii="Arial" w:hAnsi="Arial" w:cs="Arial"/>
                <w:sz w:val="20"/>
                <w:szCs w:val="20"/>
              </w:rPr>
            </w:pPr>
            <w:r w:rsidRPr="008C2B97">
              <w:rPr>
                <w:rFonts w:ascii="Arial" w:hAnsi="Arial" w:cs="Arial"/>
                <w:sz w:val="20"/>
                <w:szCs w:val="20"/>
              </w:rPr>
              <w:t>Topic</w:t>
            </w:r>
          </w:p>
        </w:tc>
        <w:tc>
          <w:tcPr>
            <w:tcW w:w="3686" w:type="dxa"/>
          </w:tcPr>
          <w:p w:rsidRPr="008C2B97" w:rsidR="00CE538A" w:rsidP="006618CC" w:rsidRDefault="00CE538A" w14:paraId="25268AEC" w14:textId="5DC1F51E">
            <w:pPr>
              <w:pStyle w:val="paragraph"/>
              <w:spacing w:before="0" w:beforeAutospacing="0" w:after="0" w:afterAutospacing="0"/>
              <w:textAlignment w:val="baseline"/>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r w:rsidRPr="008C2B97">
              <w:rPr>
                <w:rFonts w:ascii="Arial" w:hAnsi="Arial" w:cs="Arial"/>
                <w:b/>
                <w:sz w:val="20"/>
                <w:szCs w:val="20"/>
              </w:rPr>
              <w:t>ProQuest</w:t>
            </w:r>
          </w:p>
        </w:tc>
        <w:tc>
          <w:tcPr>
            <w:tcW w:w="3968" w:type="dxa"/>
          </w:tcPr>
          <w:p w:rsidRPr="008C2B97" w:rsidR="00CE538A" w:rsidP="006618CC" w:rsidRDefault="00CE538A" w14:paraId="52AC480A" w14:textId="0E4811A4">
            <w:pPr>
              <w:pStyle w:val="paragraph"/>
              <w:spacing w:before="0" w:beforeAutospacing="0" w:after="0" w:afterAutospacing="0"/>
              <w:textAlignment w:val="baseline"/>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r w:rsidRPr="008C2B97">
              <w:rPr>
                <w:rFonts w:ascii="Arial" w:hAnsi="Arial" w:cs="Arial"/>
                <w:b/>
                <w:sz w:val="20"/>
                <w:szCs w:val="20"/>
              </w:rPr>
              <w:t>PubMed</w:t>
            </w:r>
          </w:p>
        </w:tc>
      </w:tr>
      <w:tr w:rsidRPr="008C2B97" w:rsidR="00CE538A" w:rsidTr="00E753E1" w14:paraId="2BEEB85E" w14:textId="77777777">
        <w:tc>
          <w:tcPr>
            <w:cnfStyle w:val="001000000000" w:firstRow="0" w:lastRow="0" w:firstColumn="1" w:lastColumn="0" w:oddVBand="0" w:evenVBand="0" w:oddHBand="0" w:evenHBand="0" w:firstRowFirstColumn="0" w:firstRowLastColumn="0" w:lastRowFirstColumn="0" w:lastRowLastColumn="0"/>
            <w:tcW w:w="1696" w:type="dxa"/>
          </w:tcPr>
          <w:p w:rsidRPr="008C2B97" w:rsidR="00CE538A" w:rsidP="006618CC" w:rsidRDefault="006D4526" w14:paraId="56F4F079" w14:textId="0F5A20B2">
            <w:pPr>
              <w:pStyle w:val="paragraph"/>
              <w:spacing w:before="0" w:beforeAutospacing="0" w:after="0" w:afterAutospacing="0"/>
              <w:textAlignment w:val="baseline"/>
              <w:rPr>
                <w:rFonts w:ascii="Arial" w:hAnsi="Arial" w:cs="Arial"/>
                <w:sz w:val="20"/>
                <w:szCs w:val="20"/>
              </w:rPr>
            </w:pPr>
            <w:r w:rsidRPr="008C2B97">
              <w:rPr>
                <w:rFonts w:ascii="Arial" w:hAnsi="Arial" w:cs="Arial"/>
                <w:sz w:val="20"/>
                <w:szCs w:val="20"/>
              </w:rPr>
              <w:t>Cogniti</w:t>
            </w:r>
            <w:r w:rsidRPr="008C2B97" w:rsidR="005C4930">
              <w:rPr>
                <w:rFonts w:ascii="Arial" w:hAnsi="Arial" w:cs="Arial"/>
                <w:sz w:val="20"/>
                <w:szCs w:val="20"/>
              </w:rPr>
              <w:t>ve assessment</w:t>
            </w:r>
          </w:p>
        </w:tc>
        <w:tc>
          <w:tcPr>
            <w:tcW w:w="3686" w:type="dxa"/>
          </w:tcPr>
          <w:p w:rsidRPr="008C2B97" w:rsidR="00CE538A" w:rsidP="008F4D43" w:rsidRDefault="00541166" w14:paraId="64989DE0" w14:textId="7B4EEEC3">
            <w:pPr>
              <w:pStyle w:val="paragraph"/>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8C2B97">
              <w:rPr>
                <w:rFonts w:ascii="Arial" w:hAnsi="Arial" w:cs="Arial"/>
                <w:sz w:val="20"/>
                <w:szCs w:val="20"/>
              </w:rPr>
              <w:t>((noft("Alzheimer Disease") OR noft("Alzheimer’s Disease") OR noft(AD) OR noft(dementia)) AND (noft("Cognitive Assessment") OR noft("Cognitive Testing") OR noft("Neuropsychological Tests")) AND (noft("Early Diagnosis") OR noft("Early Detection") OR noft("Screening")) AND (noft("Barriers") OR noft("Challenges") OR noft("Limitations") OR noft("Obstacles")))</w:t>
            </w:r>
          </w:p>
        </w:tc>
        <w:tc>
          <w:tcPr>
            <w:tcW w:w="3968" w:type="dxa"/>
          </w:tcPr>
          <w:p w:rsidRPr="008C2B97" w:rsidR="00CE538A" w:rsidP="008F4D43" w:rsidRDefault="00081605" w14:paraId="4DED8406" w14:textId="78E84399">
            <w:pPr>
              <w:pStyle w:val="paragraph"/>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8C2B97">
              <w:rPr>
                <w:rFonts w:ascii="Arial" w:hAnsi="Arial" w:cs="Arial"/>
                <w:sz w:val="20"/>
                <w:szCs w:val="20"/>
              </w:rPr>
              <w:t>(((alzheimer*) AND (dementia)) AND ("early diagnosis")) AND (barrier OR limitation* OR "diagnostic accuracy") AND (Cognitive assessment in AD OR cognitive testing)</w:t>
            </w:r>
          </w:p>
        </w:tc>
      </w:tr>
      <w:tr w:rsidRPr="008C2B97" w:rsidR="00CE538A" w:rsidTr="00E753E1" w14:paraId="09E3D377"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rsidRPr="008C2B97" w:rsidR="00CE538A" w:rsidP="006618CC" w:rsidRDefault="006D4526" w14:paraId="3288B50E" w14:textId="538763F0">
            <w:pPr>
              <w:pStyle w:val="paragraph"/>
              <w:spacing w:before="0" w:beforeAutospacing="0" w:after="0" w:afterAutospacing="0"/>
              <w:textAlignment w:val="baseline"/>
              <w:rPr>
                <w:rFonts w:ascii="Arial" w:hAnsi="Arial" w:cs="Arial"/>
                <w:sz w:val="20"/>
                <w:szCs w:val="20"/>
              </w:rPr>
            </w:pPr>
            <w:r w:rsidRPr="008C2B97">
              <w:rPr>
                <w:rFonts w:ascii="Arial" w:hAnsi="Arial" w:cs="Arial"/>
                <w:sz w:val="20"/>
                <w:szCs w:val="20"/>
              </w:rPr>
              <w:t>Biomarkers</w:t>
            </w:r>
          </w:p>
        </w:tc>
        <w:tc>
          <w:tcPr>
            <w:tcW w:w="3686" w:type="dxa"/>
          </w:tcPr>
          <w:p w:rsidRPr="008C2B97" w:rsidR="00100EBE" w:rsidP="00100EBE" w:rsidRDefault="00100EBE" w14:paraId="6C49CB91" w14:textId="74E571F0">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8C2B97">
              <w:rPr>
                <w:rFonts w:ascii="Arial" w:hAnsi="Arial" w:cs="Arial"/>
                <w:sz w:val="20"/>
                <w:szCs w:val="20"/>
              </w:rPr>
              <w:t>((noft("Alzheimer Disease"[MeSH]) OR noft("Alzheimer’s Disease") OR noft(AD) OR noft(dementia)) AND (noft("Biomarkers") OR noft("Diagnostic markers") OR noft("Molecular markers")) AND (noft("Early Diagnosis") OR noft("Early Detection") OR noft("Screening")) AND (noft("Barriers") OR noft("Challenges") OR noft("Limitations") OR noft("Obstacles")))</w:t>
            </w:r>
          </w:p>
          <w:p w:rsidRPr="008C2B97" w:rsidR="00CE538A" w:rsidP="008F4D43" w:rsidRDefault="00CE538A" w14:paraId="0023ADFE" w14:textId="6CFC9FBB">
            <w:pPr>
              <w:pStyle w:val="paragraph"/>
              <w:spacing w:before="0" w:beforeAutospacing="0" w:after="0" w:afterAutospacing="0"/>
              <w:textAlignment w:val="baseline"/>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3968" w:type="dxa"/>
          </w:tcPr>
          <w:p w:rsidRPr="008C2B97" w:rsidR="00CE538A" w:rsidP="008F4D43" w:rsidRDefault="00D22F85" w14:paraId="73D69375" w14:textId="4143EF0B">
            <w:pPr>
              <w:pStyle w:val="paragraph"/>
              <w:spacing w:before="0" w:beforeAutospacing="0" w:after="0" w:afterAutospacing="0"/>
              <w:textAlignment w:val="baseline"/>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8C2B97">
              <w:rPr>
                <w:rFonts w:ascii="Arial" w:hAnsi="Arial" w:cs="Arial"/>
                <w:sz w:val="20"/>
                <w:szCs w:val="20"/>
              </w:rPr>
              <w:t>"Alzheimer Disease"[MeSH] OR "Alzheimer's disease" OR "AD") AND ("Biomarkers" OR "Diagnostic markers") AND ("early diagnosis" OR "mild cognitive impairment" OR "preclinical") AND ("limitations" OR "diagnostic accuracy")</w:t>
            </w:r>
          </w:p>
        </w:tc>
      </w:tr>
      <w:tr w:rsidRPr="008C2B97" w:rsidR="00CE538A" w:rsidTr="00E753E1" w14:paraId="0282A0B4" w14:textId="77777777">
        <w:tc>
          <w:tcPr>
            <w:cnfStyle w:val="001000000000" w:firstRow="0" w:lastRow="0" w:firstColumn="1" w:lastColumn="0" w:oddVBand="0" w:evenVBand="0" w:oddHBand="0" w:evenHBand="0" w:firstRowFirstColumn="0" w:firstRowLastColumn="0" w:lastRowFirstColumn="0" w:lastRowLastColumn="0"/>
            <w:tcW w:w="1696" w:type="dxa"/>
          </w:tcPr>
          <w:p w:rsidRPr="008C2B97" w:rsidR="00CE538A" w:rsidP="006618CC" w:rsidRDefault="002A63F7" w14:paraId="7BB87295" w14:textId="52BBF158">
            <w:pPr>
              <w:pStyle w:val="paragraph"/>
              <w:spacing w:before="0" w:beforeAutospacing="0" w:after="0" w:afterAutospacing="0"/>
              <w:textAlignment w:val="baseline"/>
              <w:rPr>
                <w:rFonts w:ascii="Arial" w:hAnsi="Arial" w:cs="Arial"/>
                <w:sz w:val="20"/>
                <w:szCs w:val="20"/>
              </w:rPr>
            </w:pPr>
            <w:r w:rsidRPr="008C2B97">
              <w:rPr>
                <w:rFonts w:ascii="Arial" w:hAnsi="Arial" w:cs="Arial"/>
                <w:sz w:val="20"/>
                <w:szCs w:val="20"/>
              </w:rPr>
              <w:t>Neuroimaging</w:t>
            </w:r>
          </w:p>
        </w:tc>
        <w:tc>
          <w:tcPr>
            <w:tcW w:w="3686" w:type="dxa"/>
          </w:tcPr>
          <w:p w:rsidRPr="008C2B97" w:rsidR="00CE538A" w:rsidP="00785D9E" w:rsidRDefault="00785D9E" w14:paraId="04342392" w14:textId="2150EF90">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highlight w:val="green"/>
              </w:rPr>
            </w:pPr>
            <w:r w:rsidRPr="008C2B97">
              <w:rPr>
                <w:rFonts w:ascii="Arial" w:hAnsi="Arial" w:cs="Arial"/>
                <w:sz w:val="20"/>
                <w:szCs w:val="20"/>
              </w:rPr>
              <w:t>((noft("Alzheimer Disease"[MeSH]) OR noft("Alzheimer’s Disease") OR noft(AD) OR noft(dementia)) AND (noft("Neuroimaging") OR noft("Diagnostic markers") OR noft("Brain Imagining" OR "PET" OR "MRI")) AND (noft("Early Diagnosis") OR noft("Early Detection") OR noft("Screening")) AND (noft("Barriers") OR noft("Challenges") OR noft("Limitations") OR noft("Obstacles")))</w:t>
            </w:r>
          </w:p>
        </w:tc>
        <w:tc>
          <w:tcPr>
            <w:tcW w:w="3968" w:type="dxa"/>
          </w:tcPr>
          <w:p w:rsidRPr="008C2B97" w:rsidR="00CE538A" w:rsidP="008F4D43" w:rsidRDefault="00161470" w14:paraId="5F455960" w14:textId="3FA5610F">
            <w:pPr>
              <w:pStyle w:val="paragraph"/>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8C2B97">
              <w:rPr>
                <w:rFonts w:ascii="Arial" w:hAnsi="Arial" w:cs="Arial"/>
                <w:sz w:val="20"/>
                <w:szCs w:val="20"/>
              </w:rPr>
              <w:t>("Alzheimer Disease"[MeSH] OR "Alzheimer's disease" OR "AD") AND ("MRI" OR "PET scan" OR "neuroimaging") AND ("early diagnosis" OR "mild cognitive impairment" OR "preclinical") AND ("limitations" OR "diagnostic accuracy")</w:t>
            </w:r>
          </w:p>
        </w:tc>
      </w:tr>
      <w:tr w:rsidRPr="008C2B97" w:rsidR="00CE538A" w:rsidTr="00E753E1" w14:paraId="2604CBBC"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rsidRPr="008C2B97" w:rsidR="00CE538A" w:rsidP="006618CC" w:rsidRDefault="002A63F7" w14:paraId="020A304E" w14:textId="0F26A56C">
            <w:pPr>
              <w:pStyle w:val="paragraph"/>
              <w:spacing w:before="0" w:beforeAutospacing="0" w:after="0" w:afterAutospacing="0"/>
              <w:textAlignment w:val="baseline"/>
              <w:rPr>
                <w:rFonts w:ascii="Arial" w:hAnsi="Arial" w:cs="Arial"/>
                <w:sz w:val="20"/>
                <w:szCs w:val="20"/>
              </w:rPr>
            </w:pPr>
            <w:r w:rsidRPr="008C2B97">
              <w:rPr>
                <w:rFonts w:ascii="Arial" w:hAnsi="Arial" w:cs="Arial"/>
                <w:sz w:val="20"/>
                <w:szCs w:val="20"/>
              </w:rPr>
              <w:t>Public Health</w:t>
            </w:r>
          </w:p>
        </w:tc>
        <w:tc>
          <w:tcPr>
            <w:tcW w:w="3686" w:type="dxa"/>
          </w:tcPr>
          <w:p w:rsidRPr="008C2B97" w:rsidR="00CE538A" w:rsidP="008F4D43" w:rsidRDefault="00F24717" w14:paraId="685BD149" w14:textId="37DFA383">
            <w:pPr>
              <w:pStyle w:val="paragraph"/>
              <w:spacing w:before="0" w:beforeAutospacing="0" w:after="0" w:afterAutospacing="0"/>
              <w:textAlignment w:val="baseline"/>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roofErr w:type="gramStart"/>
            <w:r w:rsidRPr="008C2B97">
              <w:rPr>
                <w:rFonts w:ascii="Arial" w:hAnsi="Arial" w:cs="Arial"/>
                <w:sz w:val="20"/>
                <w:szCs w:val="20"/>
              </w:rPr>
              <w:t>noft(</w:t>
            </w:r>
            <w:proofErr w:type="gramEnd"/>
            <w:r w:rsidRPr="008C2B97">
              <w:rPr>
                <w:rFonts w:ascii="Arial" w:hAnsi="Arial" w:cs="Arial"/>
                <w:sz w:val="20"/>
                <w:szCs w:val="20"/>
              </w:rPr>
              <w:t>"Alzheimer's" OR dementia) AND noft(early diagnosis) AND (noft(limitations) OR noft(barriers)) AND noft(health care access)</w:t>
            </w:r>
          </w:p>
        </w:tc>
        <w:tc>
          <w:tcPr>
            <w:tcW w:w="3968" w:type="dxa"/>
          </w:tcPr>
          <w:p w:rsidRPr="008C2B97" w:rsidR="00CE538A" w:rsidP="008F4D43" w:rsidRDefault="000F24C0" w14:paraId="2578CAB2" w14:textId="4AC951E0">
            <w:pPr>
              <w:pStyle w:val="paragraph"/>
              <w:spacing w:before="0" w:beforeAutospacing="0" w:after="0" w:afterAutospacing="0"/>
              <w:textAlignment w:val="baseline"/>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8C2B97">
              <w:rPr>
                <w:rFonts w:ascii="Arial" w:hAnsi="Arial" w:cs="Arial"/>
                <w:sz w:val="20"/>
                <w:szCs w:val="20"/>
              </w:rPr>
              <w:t>(((alzheimer*) AND (dementia)) AND ("early diagnosis")) AND (barrier OR limitation*) AND (healthcare access OR health equity OR public health)</w:t>
            </w:r>
          </w:p>
        </w:tc>
      </w:tr>
    </w:tbl>
    <w:p w:rsidRPr="00DD3983" w:rsidR="00512C49" w:rsidP="006618CC" w:rsidRDefault="007D7CB1" w14:paraId="3957F649" w14:textId="1B245E53">
      <w:pPr>
        <w:pStyle w:val="paragraph"/>
        <w:spacing w:before="0" w:after="0"/>
        <w:jc w:val="both"/>
        <w:textAlignment w:val="baseline"/>
        <w:rPr>
          <w:rStyle w:val="normaltextrun"/>
          <w:rFonts w:ascii="Arial" w:hAnsi="Arial" w:cs="Arial" w:eastAsiaTheme="majorEastAsia"/>
          <w:color w:val="000000"/>
          <w:sz w:val="22"/>
          <w:szCs w:val="22"/>
        </w:rPr>
      </w:pPr>
      <w:r w:rsidRPr="00DD3983">
        <w:rPr>
          <w:rStyle w:val="normaltextrun"/>
          <w:rFonts w:ascii="Arial" w:hAnsi="Arial" w:cs="Arial" w:eastAsiaTheme="majorEastAsia"/>
          <w:color w:val="000000"/>
          <w:sz w:val="22"/>
          <w:szCs w:val="22"/>
        </w:rPr>
        <w:t xml:space="preserve">Table </w:t>
      </w:r>
      <w:r w:rsidRPr="00DD3983" w:rsidR="006C407F">
        <w:rPr>
          <w:rStyle w:val="normaltextrun"/>
          <w:rFonts w:ascii="Arial" w:hAnsi="Arial" w:cs="Arial" w:eastAsiaTheme="majorEastAsia"/>
          <w:color w:val="000000"/>
          <w:sz w:val="22"/>
          <w:szCs w:val="22"/>
        </w:rPr>
        <w:t>1</w:t>
      </w:r>
      <w:r w:rsidRPr="00DD3983">
        <w:rPr>
          <w:rStyle w:val="normaltextrun"/>
          <w:rFonts w:ascii="Arial" w:hAnsi="Arial" w:cs="Arial" w:eastAsiaTheme="majorEastAsia"/>
          <w:color w:val="000000"/>
          <w:sz w:val="22"/>
          <w:szCs w:val="22"/>
        </w:rPr>
        <w:t xml:space="preserve">. </w:t>
      </w:r>
      <w:r w:rsidRPr="00DD3983" w:rsidR="001F650F">
        <w:rPr>
          <w:rStyle w:val="normaltextrun"/>
          <w:rFonts w:ascii="Arial" w:hAnsi="Arial" w:cs="Arial" w:eastAsiaTheme="majorEastAsia"/>
          <w:color w:val="000000"/>
          <w:sz w:val="22"/>
          <w:szCs w:val="22"/>
        </w:rPr>
        <w:t>Comparison of s</w:t>
      </w:r>
      <w:r w:rsidRPr="00DD3983" w:rsidR="00CF3CB3">
        <w:rPr>
          <w:rStyle w:val="normaltextrun"/>
          <w:rFonts w:ascii="Arial" w:hAnsi="Arial" w:cs="Arial" w:eastAsiaTheme="majorEastAsia"/>
          <w:color w:val="000000"/>
          <w:sz w:val="22"/>
          <w:szCs w:val="22"/>
        </w:rPr>
        <w:t xml:space="preserve">earch </w:t>
      </w:r>
      <w:r w:rsidRPr="00DD3983" w:rsidR="001F650F">
        <w:rPr>
          <w:rStyle w:val="normaltextrun"/>
          <w:rFonts w:ascii="Arial" w:hAnsi="Arial" w:cs="Arial" w:eastAsiaTheme="majorEastAsia"/>
          <w:color w:val="000000"/>
          <w:sz w:val="22"/>
          <w:szCs w:val="22"/>
        </w:rPr>
        <w:t>s</w:t>
      </w:r>
      <w:r w:rsidRPr="00DD3983" w:rsidR="00CF3CB3">
        <w:rPr>
          <w:rStyle w:val="normaltextrun"/>
          <w:rFonts w:ascii="Arial" w:hAnsi="Arial" w:cs="Arial" w:eastAsiaTheme="majorEastAsia"/>
          <w:color w:val="000000"/>
          <w:sz w:val="22"/>
          <w:szCs w:val="22"/>
        </w:rPr>
        <w:t>tring</w:t>
      </w:r>
      <w:r w:rsidRPr="00DD3983" w:rsidR="00CA6C60">
        <w:rPr>
          <w:rStyle w:val="normaltextrun"/>
          <w:rFonts w:ascii="Arial" w:hAnsi="Arial" w:cs="Arial" w:eastAsiaTheme="majorEastAsia"/>
          <w:color w:val="000000"/>
          <w:sz w:val="22"/>
          <w:szCs w:val="22"/>
        </w:rPr>
        <w:t xml:space="preserve">s </w:t>
      </w:r>
      <w:r w:rsidRPr="00DD3983" w:rsidR="003E5A29">
        <w:rPr>
          <w:rStyle w:val="normaltextrun"/>
          <w:rFonts w:ascii="Arial" w:hAnsi="Arial" w:cs="Arial" w:eastAsiaTheme="majorEastAsia"/>
          <w:color w:val="000000"/>
          <w:sz w:val="22"/>
          <w:szCs w:val="22"/>
        </w:rPr>
        <w:t>used in</w:t>
      </w:r>
      <w:r w:rsidRPr="00DD3983" w:rsidR="001F650F">
        <w:rPr>
          <w:rStyle w:val="normaltextrun"/>
          <w:rFonts w:ascii="Arial" w:hAnsi="Arial" w:cs="Arial" w:eastAsiaTheme="majorEastAsia"/>
          <w:color w:val="000000"/>
          <w:sz w:val="22"/>
          <w:szCs w:val="22"/>
        </w:rPr>
        <w:t xml:space="preserve"> each domain between databases.</w:t>
      </w:r>
    </w:p>
    <w:p w:rsidRPr="00F6306A" w:rsidR="00F6306A" w:rsidP="00F6306A" w:rsidRDefault="003149A6" w14:paraId="5E37DD84" w14:textId="22451F93">
      <w:pPr>
        <w:pStyle w:val="Heading2"/>
        <w:spacing w:before="0"/>
      </w:pPr>
      <w:r w:rsidRPr="00E910EE">
        <w:rPr>
          <w:rStyle w:val="normaltextrun"/>
        </w:rPr>
        <w:t>Screening and selection process</w:t>
      </w:r>
    </w:p>
    <w:p w:rsidRPr="00DD3983" w:rsidR="003149A6" w:rsidP="00F6306A" w:rsidRDefault="003149A6" w14:paraId="2C026057" w14:textId="0390767D">
      <w:pPr>
        <w:pStyle w:val="paragraph"/>
        <w:spacing w:before="0" w:beforeAutospacing="0" w:after="80" w:afterAutospacing="0"/>
        <w:jc w:val="both"/>
        <w:textAlignment w:val="baseline"/>
        <w:rPr>
          <w:rFonts w:ascii="Arial" w:hAnsi="Arial" w:cs="Arial"/>
          <w:sz w:val="22"/>
          <w:szCs w:val="22"/>
        </w:rPr>
      </w:pPr>
      <w:r w:rsidRPr="00DD3983">
        <w:rPr>
          <w:rStyle w:val="normaltextrun"/>
          <w:rFonts w:ascii="Arial" w:hAnsi="Arial" w:cs="Arial" w:eastAsiaTheme="majorEastAsia"/>
          <w:color w:val="000000"/>
          <w:sz w:val="22"/>
          <w:szCs w:val="22"/>
        </w:rPr>
        <w:t xml:space="preserve">The screening process </w:t>
      </w:r>
      <w:proofErr w:type="gramStart"/>
      <w:r w:rsidRPr="00DD3983">
        <w:rPr>
          <w:rStyle w:val="normaltextrun"/>
          <w:rFonts w:ascii="Arial" w:hAnsi="Arial" w:cs="Arial" w:eastAsiaTheme="majorEastAsia"/>
          <w:color w:val="000000"/>
          <w:sz w:val="22"/>
          <w:szCs w:val="22"/>
        </w:rPr>
        <w:t>was conducted</w:t>
      </w:r>
      <w:proofErr w:type="gramEnd"/>
      <w:r w:rsidRPr="00DD3983">
        <w:rPr>
          <w:rStyle w:val="normaltextrun"/>
          <w:rFonts w:ascii="Arial" w:hAnsi="Arial" w:cs="Arial" w:eastAsiaTheme="majorEastAsia"/>
          <w:color w:val="000000"/>
          <w:sz w:val="22"/>
          <w:szCs w:val="22"/>
        </w:rPr>
        <w:t xml:space="preserve"> in two stages: title and abstract screening, followed by full-text review. </w:t>
      </w:r>
      <w:proofErr w:type="gramStart"/>
      <w:r w:rsidRPr="00DD3983">
        <w:rPr>
          <w:rStyle w:val="normaltextrun"/>
          <w:rFonts w:ascii="Arial" w:hAnsi="Arial" w:cs="Arial" w:eastAsiaTheme="majorEastAsia"/>
          <w:color w:val="000000"/>
          <w:sz w:val="22"/>
          <w:szCs w:val="22"/>
        </w:rPr>
        <w:t>Each article was independently reviewed by</w:t>
      </w:r>
      <w:r w:rsidRPr="00DD3983" w:rsidR="00B71C68">
        <w:rPr>
          <w:rStyle w:val="normaltextrun"/>
          <w:rFonts w:ascii="Arial" w:hAnsi="Arial" w:cs="Arial" w:eastAsiaTheme="majorEastAsia"/>
          <w:color w:val="000000"/>
          <w:sz w:val="22"/>
          <w:szCs w:val="22"/>
        </w:rPr>
        <w:t xml:space="preserve"> the</w:t>
      </w:r>
      <w:r w:rsidRPr="00DD3983">
        <w:rPr>
          <w:rStyle w:val="normaltextrun"/>
          <w:rFonts w:ascii="Arial" w:hAnsi="Arial" w:cs="Arial" w:eastAsiaTheme="majorEastAsia"/>
          <w:color w:val="000000"/>
          <w:sz w:val="22"/>
          <w:szCs w:val="22"/>
        </w:rPr>
        <w:t xml:space="preserve"> research</w:t>
      </w:r>
      <w:r w:rsidRPr="00DD3983" w:rsidR="00B71C68">
        <w:rPr>
          <w:rStyle w:val="normaltextrun"/>
          <w:rFonts w:ascii="Arial" w:hAnsi="Arial" w:cs="Arial" w:eastAsiaTheme="majorEastAsia"/>
          <w:color w:val="000000"/>
          <w:sz w:val="22"/>
          <w:szCs w:val="22"/>
        </w:rPr>
        <w:t xml:space="preserve"> team</w:t>
      </w:r>
      <w:proofErr w:type="gramEnd"/>
      <w:r w:rsidRPr="00DD3983">
        <w:rPr>
          <w:rStyle w:val="normaltextrun"/>
          <w:rFonts w:ascii="Arial" w:hAnsi="Arial" w:cs="Arial" w:eastAsiaTheme="majorEastAsia"/>
          <w:color w:val="000000"/>
          <w:sz w:val="22"/>
          <w:szCs w:val="22"/>
        </w:rPr>
        <w:t xml:space="preserve">, and </w:t>
      </w:r>
      <w:r w:rsidRPr="00DD3983" w:rsidR="002D6624">
        <w:rPr>
          <w:rStyle w:val="normaltextrun"/>
          <w:rFonts w:ascii="Arial" w:hAnsi="Arial" w:cs="Arial" w:eastAsiaTheme="majorEastAsia"/>
          <w:color w:val="000000"/>
          <w:sz w:val="22"/>
          <w:szCs w:val="22"/>
        </w:rPr>
        <w:t xml:space="preserve">screening </w:t>
      </w:r>
      <w:r w:rsidRPr="00DD3983">
        <w:rPr>
          <w:rStyle w:val="normaltextrun"/>
          <w:rFonts w:ascii="Arial" w:hAnsi="Arial" w:cs="Arial" w:eastAsiaTheme="majorEastAsia"/>
          <w:color w:val="000000"/>
          <w:sz w:val="22"/>
          <w:szCs w:val="22"/>
        </w:rPr>
        <w:t xml:space="preserve">conflicts were resolved through discussion. Following the initial screening, 305 articles </w:t>
      </w:r>
      <w:proofErr w:type="gramStart"/>
      <w:r w:rsidRPr="00DD3983">
        <w:rPr>
          <w:rStyle w:val="normaltextrun"/>
          <w:rFonts w:ascii="Arial" w:hAnsi="Arial" w:cs="Arial" w:eastAsiaTheme="majorEastAsia"/>
          <w:color w:val="000000"/>
          <w:sz w:val="22"/>
          <w:szCs w:val="22"/>
        </w:rPr>
        <w:t>were selected</w:t>
      </w:r>
      <w:proofErr w:type="gramEnd"/>
      <w:r w:rsidRPr="00DD3983">
        <w:rPr>
          <w:rStyle w:val="normaltextrun"/>
          <w:rFonts w:ascii="Arial" w:hAnsi="Arial" w:cs="Arial" w:eastAsiaTheme="majorEastAsia"/>
          <w:color w:val="000000"/>
          <w:sz w:val="22"/>
          <w:szCs w:val="22"/>
        </w:rPr>
        <w:t xml:space="preserve"> for full-text review. A final set of 151 articles </w:t>
      </w:r>
      <w:proofErr w:type="gramStart"/>
      <w:r w:rsidRPr="00DD3983">
        <w:rPr>
          <w:rStyle w:val="normaltextrun"/>
          <w:rFonts w:ascii="Arial" w:hAnsi="Arial" w:cs="Arial" w:eastAsiaTheme="majorEastAsia"/>
          <w:color w:val="000000"/>
          <w:sz w:val="22"/>
          <w:szCs w:val="22"/>
        </w:rPr>
        <w:t>was included</w:t>
      </w:r>
      <w:proofErr w:type="gramEnd"/>
      <w:r w:rsidRPr="00DD3983">
        <w:rPr>
          <w:rStyle w:val="normaltextrun"/>
          <w:rFonts w:ascii="Arial" w:hAnsi="Arial" w:cs="Arial" w:eastAsiaTheme="majorEastAsia"/>
          <w:color w:val="000000"/>
          <w:sz w:val="22"/>
          <w:szCs w:val="22"/>
        </w:rPr>
        <w:t xml:space="preserve"> for data extraction based on their direct relevance to early diagnosis barriers. The PRISMA flow diagram (Figure </w:t>
      </w:r>
      <w:r w:rsidRPr="00DD3983" w:rsidR="00454A7A">
        <w:rPr>
          <w:rStyle w:val="normaltextrun"/>
          <w:rFonts w:ascii="Arial" w:hAnsi="Arial" w:cs="Arial" w:eastAsiaTheme="majorEastAsia"/>
          <w:color w:val="000000"/>
          <w:sz w:val="22"/>
          <w:szCs w:val="22"/>
        </w:rPr>
        <w:t>X</w:t>
      </w:r>
      <w:r w:rsidRPr="00DD3983">
        <w:rPr>
          <w:rStyle w:val="normaltextrun"/>
          <w:rFonts w:ascii="Arial" w:hAnsi="Arial" w:cs="Arial" w:eastAsiaTheme="majorEastAsia"/>
          <w:color w:val="000000"/>
          <w:sz w:val="22"/>
          <w:szCs w:val="22"/>
        </w:rPr>
        <w:t>) visually details this process</w:t>
      </w:r>
      <w:r w:rsidRPr="00DD3983" w:rsidR="00CC6B32">
        <w:rPr>
          <w:rStyle w:val="normaltextrun"/>
          <w:rFonts w:ascii="Arial" w:hAnsi="Arial" w:cs="Arial" w:eastAsiaTheme="majorEastAsia"/>
          <w:color w:val="000000"/>
          <w:sz w:val="22"/>
          <w:szCs w:val="22"/>
        </w:rPr>
        <w:t>.</w:t>
      </w:r>
    </w:p>
    <w:p w:rsidRPr="00DD3983" w:rsidR="003149A6" w:rsidP="006618CC" w:rsidRDefault="003149A6" w14:paraId="37563488" w14:textId="48D6B5A8">
      <w:pPr>
        <w:pStyle w:val="paragraph"/>
        <w:spacing w:before="0" w:after="0"/>
        <w:jc w:val="both"/>
        <w:textAlignment w:val="baseline"/>
        <w:rPr>
          <w:rFonts w:ascii="Arial" w:hAnsi="Arial" w:cs="Arial"/>
          <w:sz w:val="22"/>
          <w:szCs w:val="22"/>
        </w:rPr>
      </w:pPr>
      <w:r w:rsidRPr="00DD3983">
        <w:rPr>
          <w:rStyle w:val="normaltextrun"/>
          <w:rFonts w:ascii="Arial" w:hAnsi="Arial" w:cs="Arial" w:eastAsiaTheme="majorEastAsia"/>
          <w:color w:val="000000"/>
          <w:sz w:val="22"/>
          <w:szCs w:val="22"/>
        </w:rPr>
        <w:t xml:space="preserve">Studies </w:t>
      </w:r>
      <w:proofErr w:type="gramStart"/>
      <w:r w:rsidRPr="00DD3983">
        <w:rPr>
          <w:rStyle w:val="normaltextrun"/>
          <w:rFonts w:ascii="Arial" w:hAnsi="Arial" w:cs="Arial" w:eastAsiaTheme="majorEastAsia"/>
          <w:color w:val="000000"/>
          <w:sz w:val="22"/>
          <w:szCs w:val="22"/>
        </w:rPr>
        <w:t>were included</w:t>
      </w:r>
      <w:proofErr w:type="gramEnd"/>
      <w:r w:rsidRPr="00DD3983">
        <w:rPr>
          <w:rStyle w:val="normaltextrun"/>
          <w:rFonts w:ascii="Arial" w:hAnsi="Arial" w:cs="Arial" w:eastAsiaTheme="majorEastAsia"/>
          <w:color w:val="000000"/>
          <w:sz w:val="22"/>
          <w:szCs w:val="22"/>
        </w:rPr>
        <w:t xml:space="preserve"> if they were peer-reviewed and explicitly addressed </w:t>
      </w:r>
      <w:r w:rsidRPr="00DD3983" w:rsidR="009F0B55">
        <w:rPr>
          <w:rStyle w:val="normaltextrun"/>
          <w:rFonts w:ascii="Arial" w:hAnsi="Arial" w:cs="Arial" w:eastAsiaTheme="majorEastAsia"/>
          <w:color w:val="000000"/>
          <w:sz w:val="22"/>
          <w:szCs w:val="22"/>
        </w:rPr>
        <w:t>AD</w:t>
      </w:r>
      <w:r w:rsidRPr="00DD3983">
        <w:rPr>
          <w:rStyle w:val="normaltextrun"/>
          <w:rFonts w:ascii="Arial" w:hAnsi="Arial" w:cs="Arial" w:eastAsiaTheme="majorEastAsia"/>
          <w:color w:val="000000"/>
          <w:sz w:val="22"/>
          <w:szCs w:val="22"/>
        </w:rPr>
        <w:t xml:space="preserve"> and its early diagnostic barriers. Specifically, studies focusing on healthcare access disparities, biomarker limitations, neuroimaging constraints, or cognitive assessment challenges </w:t>
      </w:r>
      <w:proofErr w:type="gramStart"/>
      <w:r w:rsidRPr="00DD3983">
        <w:rPr>
          <w:rStyle w:val="normaltextrun"/>
          <w:rFonts w:ascii="Arial" w:hAnsi="Arial" w:cs="Arial" w:eastAsiaTheme="majorEastAsia"/>
          <w:color w:val="000000"/>
          <w:sz w:val="22"/>
          <w:szCs w:val="22"/>
        </w:rPr>
        <w:t>were considered</w:t>
      </w:r>
      <w:proofErr w:type="gramEnd"/>
      <w:r w:rsidRPr="00DD3983">
        <w:rPr>
          <w:rStyle w:val="normaltextrun"/>
          <w:rFonts w:ascii="Arial" w:hAnsi="Arial" w:cs="Arial" w:eastAsiaTheme="majorEastAsia"/>
          <w:color w:val="000000"/>
          <w:sz w:val="22"/>
          <w:szCs w:val="22"/>
        </w:rPr>
        <w:t>. Only articles published in English were included, and eligible studies consisted of original research, systematic reviews, or meta-analyses that provided direct insight into diagnostic challenges in AD.</w:t>
      </w:r>
      <w:r w:rsidRPr="00DD3983">
        <w:rPr>
          <w:rStyle w:val="eop"/>
          <w:rFonts w:ascii="Arial" w:hAnsi="Arial" w:cs="Arial" w:eastAsiaTheme="majorEastAsia"/>
          <w:color w:val="000000"/>
          <w:sz w:val="22"/>
          <w:szCs w:val="22"/>
        </w:rPr>
        <w:t> </w:t>
      </w:r>
      <w:r w:rsidRPr="00DD3983">
        <w:rPr>
          <w:rStyle w:val="normaltextrun"/>
          <w:rFonts w:ascii="Arial" w:hAnsi="Arial" w:cs="Arial" w:eastAsiaTheme="majorEastAsia"/>
          <w:color w:val="000000"/>
          <w:sz w:val="22"/>
          <w:szCs w:val="22"/>
        </w:rPr>
        <w:t xml:space="preserve">Studies were excluded if they focused on dementia broadly without specifying Alzheimer’s disease or if they did not explicitly discuss diagnostic barriers. Additionally, editorial pieces, commentaries, and opinion articles </w:t>
      </w:r>
      <w:proofErr w:type="gramStart"/>
      <w:r w:rsidRPr="00DD3983">
        <w:rPr>
          <w:rStyle w:val="normaltextrun"/>
          <w:rFonts w:ascii="Arial" w:hAnsi="Arial" w:cs="Arial" w:eastAsiaTheme="majorEastAsia"/>
          <w:color w:val="000000"/>
          <w:sz w:val="22"/>
          <w:szCs w:val="22"/>
        </w:rPr>
        <w:t>were omitted</w:t>
      </w:r>
      <w:proofErr w:type="gramEnd"/>
      <w:r w:rsidRPr="00DD3983">
        <w:rPr>
          <w:rStyle w:val="normaltextrun"/>
          <w:rFonts w:ascii="Arial" w:hAnsi="Arial" w:cs="Arial" w:eastAsiaTheme="majorEastAsia"/>
          <w:color w:val="000000"/>
          <w:sz w:val="22"/>
          <w:szCs w:val="22"/>
        </w:rPr>
        <w:t xml:space="preserve">. Non-English publications and studies without accessible full text </w:t>
      </w:r>
      <w:proofErr w:type="gramStart"/>
      <w:r w:rsidRPr="00DD3983">
        <w:rPr>
          <w:rStyle w:val="normaltextrun"/>
          <w:rFonts w:ascii="Arial" w:hAnsi="Arial" w:cs="Arial" w:eastAsiaTheme="majorEastAsia"/>
          <w:color w:val="000000"/>
          <w:sz w:val="22"/>
          <w:szCs w:val="22"/>
        </w:rPr>
        <w:t>were also excluded</w:t>
      </w:r>
      <w:proofErr w:type="gramEnd"/>
      <w:r w:rsidRPr="00DD3983">
        <w:rPr>
          <w:rStyle w:val="normaltextrun"/>
          <w:rFonts w:ascii="Arial" w:hAnsi="Arial" w:cs="Arial" w:eastAsiaTheme="majorEastAsia"/>
          <w:color w:val="000000"/>
          <w:sz w:val="22"/>
          <w:szCs w:val="22"/>
        </w:rPr>
        <w:t xml:space="preserve"> to maintain consistency and accessibility in data collection.</w:t>
      </w:r>
    </w:p>
    <w:p w:rsidRPr="00DD3983" w:rsidR="00B71AE4" w:rsidP="006618CC" w:rsidRDefault="00D62FED" w14:paraId="2A7CF6AD" w14:textId="1384B41C">
      <w:pPr>
        <w:pStyle w:val="paragraph"/>
        <w:pBdr>
          <w:top w:val="single" w:color="auto" w:sz="4" w:space="1"/>
          <w:left w:val="single" w:color="auto" w:sz="4" w:space="4"/>
          <w:bottom w:val="single" w:color="auto" w:sz="4" w:space="1"/>
          <w:right w:val="single" w:color="auto" w:sz="4" w:space="4"/>
        </w:pBdr>
        <w:spacing w:before="0" w:after="0"/>
        <w:jc w:val="both"/>
        <w:textAlignment w:val="baseline"/>
        <w:rPr>
          <w:rFonts w:ascii="Arial" w:hAnsi="Arial" w:cs="Arial" w:eastAsiaTheme="majorEastAsia"/>
          <w:color w:val="000000"/>
          <w:sz w:val="22"/>
          <w:szCs w:val="22"/>
        </w:rPr>
      </w:pPr>
      <w:r w:rsidRPr="00DD3983">
        <w:rPr>
          <w:rFonts w:ascii="Arial" w:hAnsi="Arial" w:cs="Arial" w:eastAsiaTheme="majorEastAsia"/>
          <w:color w:val="000000"/>
          <w:sz w:val="22"/>
          <w:szCs w:val="22"/>
          <w14:ligatures w14:val="standardContextual"/>
        </w:rPr>
        <w:drawing>
          <wp:inline distT="0" distB="0" distL="0" distR="0" wp14:anchorId="30DE0C92" wp14:editId="3506F460">
            <wp:extent cx="5943600" cy="5615940"/>
            <wp:effectExtent l="0" t="0" r="0" b="0"/>
            <wp:docPr id="762242564" name="Picture 1" descr="A flowchart of a flowchar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2242564" name="Picture 1" descr="A flowchart of a flowchart&#10;&#10;AI-generated content may be incorrect."/>
                    <pic:cNvPicPr/>
                  </pic:nvPicPr>
                  <pic:blipFill>
                    <a:blip r:embed="rId10">
                      <a:extLst>
                        <a:ext uri="{28A0092B-C50C-407E-A947-70E740481C1C}">
                          <a14:useLocalDpi xmlns:a14="http://schemas.microsoft.com/office/drawing/2010/main" val="0"/>
                        </a:ext>
                      </a:extLst>
                    </a:blip>
                    <a:stretch>
                      <a:fillRect/>
                    </a:stretch>
                  </pic:blipFill>
                  <pic:spPr>
                    <a:xfrm>
                      <a:off x="0" y="0"/>
                      <a:ext cx="5943600" cy="5615940"/>
                    </a:xfrm>
                    <a:prstGeom prst="rect">
                      <a:avLst/>
                    </a:prstGeom>
                  </pic:spPr>
                </pic:pic>
              </a:graphicData>
            </a:graphic>
          </wp:inline>
        </w:drawing>
      </w:r>
    </w:p>
    <w:p w:rsidRPr="00404812" w:rsidR="00F6306A" w:rsidP="00404812" w:rsidRDefault="00AD19AB" w14:paraId="692AF59E" w14:textId="258CF485">
      <w:pPr>
        <w:pStyle w:val="paragraph"/>
        <w:pBdr>
          <w:top w:val="single" w:color="auto" w:sz="4" w:space="1"/>
          <w:left w:val="single" w:color="auto" w:sz="4" w:space="4"/>
          <w:bottom w:val="single" w:color="auto" w:sz="4" w:space="1"/>
          <w:right w:val="single" w:color="auto" w:sz="4" w:space="4"/>
        </w:pBdr>
        <w:spacing w:before="0" w:beforeAutospacing="0" w:after="0" w:afterAutospacing="0"/>
        <w:jc w:val="both"/>
        <w:textAlignment w:val="baseline"/>
        <w:rPr>
          <w:rStyle w:val="eop"/>
          <w:rFonts w:ascii="Arial" w:hAnsi="Arial" w:cs="Arial" w:eastAsiaTheme="majorEastAsia"/>
          <w:sz w:val="22"/>
          <w:szCs w:val="22"/>
        </w:rPr>
      </w:pPr>
      <w:r w:rsidRPr="00957D92">
        <w:rPr>
          <w:rStyle w:val="normaltextrun"/>
          <w:rFonts w:ascii="Arial" w:hAnsi="Arial" w:cs="Arial" w:eastAsiaTheme="majorEastAsia"/>
          <w:color w:val="000000"/>
          <w:sz w:val="22"/>
          <w:szCs w:val="22"/>
        </w:rPr>
        <w:t xml:space="preserve">Figure </w:t>
      </w:r>
      <w:r w:rsidR="00E753E1">
        <w:rPr>
          <w:rStyle w:val="normaltextrun"/>
          <w:rFonts w:ascii="Arial" w:hAnsi="Arial" w:cs="Arial" w:eastAsiaTheme="majorEastAsia"/>
          <w:color w:val="000000"/>
          <w:sz w:val="22"/>
          <w:szCs w:val="22"/>
        </w:rPr>
        <w:t>1</w:t>
      </w:r>
      <w:r w:rsidRPr="00957D92">
        <w:rPr>
          <w:rStyle w:val="normaltextrun"/>
          <w:rFonts w:ascii="Arial" w:hAnsi="Arial" w:cs="Arial" w:eastAsiaTheme="majorEastAsia"/>
          <w:color w:val="000000"/>
          <w:sz w:val="22"/>
          <w:szCs w:val="22"/>
        </w:rPr>
        <w:t>. PRISM</w:t>
      </w:r>
      <w:r w:rsidR="004A5217">
        <w:rPr>
          <w:rStyle w:val="normaltextrun"/>
          <w:rFonts w:ascii="Arial" w:hAnsi="Arial" w:cs="Arial" w:eastAsiaTheme="majorEastAsia"/>
          <w:color w:val="000000"/>
          <w:sz w:val="22"/>
          <w:szCs w:val="22"/>
        </w:rPr>
        <w:t>A</w:t>
      </w:r>
      <w:r w:rsidRPr="00957D92">
        <w:rPr>
          <w:rStyle w:val="eop"/>
          <w:rFonts w:ascii="Arial" w:hAnsi="Arial" w:cs="Arial" w:eastAsiaTheme="majorEastAsia"/>
          <w:color w:val="000000"/>
          <w:sz w:val="22"/>
          <w:szCs w:val="22"/>
        </w:rPr>
        <w:t> </w:t>
      </w:r>
      <w:r w:rsidR="00BF6570">
        <w:rPr>
          <w:rStyle w:val="eop"/>
          <w:rFonts w:ascii="Arial" w:hAnsi="Arial" w:cs="Arial" w:eastAsiaTheme="majorEastAsia"/>
          <w:color w:val="000000"/>
          <w:sz w:val="22"/>
          <w:szCs w:val="22"/>
        </w:rPr>
        <w:t xml:space="preserve">flow diagram illustrating </w:t>
      </w:r>
      <w:r w:rsidR="0098112C">
        <w:rPr>
          <w:rStyle w:val="eop"/>
          <w:rFonts w:ascii="Arial" w:hAnsi="Arial" w:cs="Arial" w:eastAsiaTheme="majorEastAsia"/>
          <w:color w:val="000000"/>
          <w:sz w:val="22"/>
          <w:szCs w:val="22"/>
        </w:rPr>
        <w:t>the selection process</w:t>
      </w:r>
      <w:r w:rsidR="00D20962">
        <w:rPr>
          <w:rStyle w:val="eop"/>
          <w:rFonts w:ascii="Arial" w:hAnsi="Arial" w:cs="Arial" w:eastAsiaTheme="majorEastAsia"/>
          <w:color w:val="000000"/>
          <w:sz w:val="22"/>
          <w:szCs w:val="22"/>
        </w:rPr>
        <w:t>, including abstract and title screening</w:t>
      </w:r>
      <w:r w:rsidR="006E0D96">
        <w:rPr>
          <w:rStyle w:val="eop"/>
          <w:rFonts w:ascii="Arial" w:hAnsi="Arial" w:cs="Arial" w:eastAsiaTheme="majorEastAsia"/>
          <w:color w:val="000000"/>
          <w:sz w:val="22"/>
          <w:szCs w:val="22"/>
        </w:rPr>
        <w:t xml:space="preserve">, eligibility, and </w:t>
      </w:r>
      <w:r w:rsidR="000422E9">
        <w:rPr>
          <w:rStyle w:val="eop"/>
          <w:rFonts w:ascii="Arial" w:hAnsi="Arial" w:cs="Arial" w:eastAsiaTheme="majorEastAsia"/>
          <w:color w:val="000000"/>
          <w:sz w:val="22"/>
          <w:szCs w:val="22"/>
        </w:rPr>
        <w:t>inclusion stages.</w:t>
      </w:r>
    </w:p>
    <w:p w:rsidRPr="00D539E8" w:rsidR="007E284B" w:rsidP="00CB5369" w:rsidRDefault="00D72660" w14:paraId="7AAA7B2A" w14:textId="45A86B58">
      <w:pPr>
        <w:pStyle w:val="Heading1"/>
        <w:spacing w:before="0" w:after="0"/>
        <w:rPr>
          <w:rStyle w:val="eop"/>
        </w:rPr>
      </w:pPr>
      <w:r w:rsidRPr="00D539E8">
        <w:rPr>
          <w:rStyle w:val="eop"/>
        </w:rPr>
        <w:t>Results</w:t>
      </w:r>
    </w:p>
    <w:p w:rsidRPr="00F6306A" w:rsidR="006A24CD" w:rsidP="00F6306A" w:rsidRDefault="00FE634D" w14:paraId="672D08B4" w14:textId="1B8FC481">
      <w:pPr>
        <w:pStyle w:val="paragraph"/>
        <w:spacing w:before="0" w:beforeAutospacing="0" w:after="0" w:afterAutospacing="0"/>
        <w:jc w:val="both"/>
        <w:textAlignment w:val="baseline"/>
        <w:rPr>
          <w:rStyle w:val="normaltextrun"/>
          <w:rFonts w:ascii="Arial" w:hAnsi="Arial" w:cs="Arial" w:eastAsiaTheme="majorEastAsia"/>
          <w:color w:val="000000"/>
          <w:sz w:val="22"/>
          <w:szCs w:val="22"/>
        </w:rPr>
      </w:pPr>
      <w:r w:rsidRPr="00DD3983">
        <w:rPr>
          <w:rStyle w:val="normaltextrun"/>
          <w:rFonts w:ascii="Arial" w:hAnsi="Arial" w:cs="Arial" w:eastAsiaTheme="majorEastAsia"/>
          <w:color w:val="000000"/>
          <w:sz w:val="22"/>
          <w:szCs w:val="22"/>
        </w:rPr>
        <w:t>Our scoping review identified 151 articles addressing barriers to early A</w:t>
      </w:r>
      <w:r w:rsidRPr="00DD3983" w:rsidR="00EA319E">
        <w:rPr>
          <w:rStyle w:val="normaltextrun"/>
          <w:rFonts w:ascii="Arial" w:hAnsi="Arial" w:cs="Arial" w:eastAsiaTheme="majorEastAsia"/>
          <w:color w:val="000000"/>
          <w:sz w:val="22"/>
          <w:szCs w:val="22"/>
        </w:rPr>
        <w:t>D</w:t>
      </w:r>
      <w:r w:rsidRPr="00DD3983">
        <w:rPr>
          <w:rStyle w:val="normaltextrun"/>
          <w:rFonts w:ascii="Arial" w:hAnsi="Arial" w:cs="Arial" w:eastAsiaTheme="majorEastAsia"/>
          <w:color w:val="000000"/>
          <w:sz w:val="22"/>
          <w:szCs w:val="22"/>
        </w:rPr>
        <w:t xml:space="preserve"> diagnosis. </w:t>
      </w:r>
      <w:r w:rsidRPr="00DD3983" w:rsidR="00200D18">
        <w:rPr>
          <w:rStyle w:val="normaltextrun"/>
          <w:rFonts w:ascii="Arial" w:hAnsi="Arial" w:cs="Arial" w:eastAsiaTheme="majorEastAsia"/>
          <w:color w:val="000000"/>
          <w:sz w:val="22"/>
          <w:szCs w:val="22"/>
        </w:rPr>
        <w:t>We found that t</w:t>
      </w:r>
      <w:r w:rsidRPr="00DD3983">
        <w:rPr>
          <w:rStyle w:val="normaltextrun"/>
          <w:rFonts w:ascii="Arial" w:hAnsi="Arial" w:cs="Arial" w:eastAsiaTheme="majorEastAsia"/>
          <w:color w:val="000000"/>
          <w:sz w:val="22"/>
          <w:szCs w:val="22"/>
        </w:rPr>
        <w:t>hese barriers naturally clustered into three interdependent d</w:t>
      </w:r>
      <w:r w:rsidRPr="00DD3983" w:rsidR="00AD1AF3">
        <w:rPr>
          <w:rStyle w:val="normaltextrun"/>
          <w:rFonts w:ascii="Arial" w:hAnsi="Arial" w:cs="Arial" w:eastAsiaTheme="majorEastAsia"/>
          <w:color w:val="000000"/>
          <w:sz w:val="22"/>
          <w:szCs w:val="22"/>
        </w:rPr>
        <w:t>isciplines</w:t>
      </w:r>
      <w:r w:rsidRPr="00DD3983" w:rsidR="00EF1F88">
        <w:rPr>
          <w:rStyle w:val="normaltextrun"/>
          <w:rFonts w:ascii="Arial" w:hAnsi="Arial" w:cs="Arial" w:eastAsiaTheme="majorEastAsia"/>
          <w:color w:val="000000"/>
          <w:sz w:val="22"/>
          <w:szCs w:val="22"/>
        </w:rPr>
        <w:t xml:space="preserve"> reflected by our search strategy and </w:t>
      </w:r>
      <w:r w:rsidRPr="00DD3983" w:rsidR="00F667F2">
        <w:rPr>
          <w:rStyle w:val="normaltextrun"/>
          <w:rFonts w:ascii="Arial" w:hAnsi="Arial" w:cs="Arial" w:eastAsiaTheme="majorEastAsia"/>
          <w:color w:val="000000"/>
          <w:sz w:val="22"/>
          <w:szCs w:val="22"/>
        </w:rPr>
        <w:t>aligns with what has been observed in the literature</w:t>
      </w:r>
      <w:r w:rsidR="008021A3">
        <w:rPr>
          <w:rStyle w:val="normaltextrun"/>
          <w:rFonts w:ascii="Arial" w:hAnsi="Arial" w:cs="Arial" w:eastAsiaTheme="majorEastAsia"/>
          <w:color w:val="000000"/>
          <w:sz w:val="22"/>
          <w:szCs w:val="22"/>
        </w:rPr>
        <w:t>.</w:t>
      </w:r>
      <w:r w:rsidRPr="00DD3983" w:rsidR="00F667F2">
        <w:rPr>
          <w:rStyle w:val="normaltextrun"/>
          <w:rFonts w:ascii="Arial" w:hAnsi="Arial" w:cs="Arial" w:eastAsiaTheme="majorEastAsia"/>
          <w:color w:val="000000"/>
          <w:sz w:val="22"/>
          <w:szCs w:val="22"/>
        </w:rPr>
        <w:fldChar w:fldCharType="begin"/>
      </w:r>
      <w:r w:rsidR="00025355">
        <w:rPr>
          <w:rStyle w:val="normaltextrun"/>
          <w:rFonts w:ascii="Arial" w:hAnsi="Arial" w:cs="Arial" w:eastAsiaTheme="majorEastAsia"/>
          <w:color w:val="000000"/>
          <w:sz w:val="22"/>
          <w:szCs w:val="22"/>
        </w:rPr>
        <w:instrText xml:space="preserve"> ADDIN ZOTERO_ITEM CSL_CITATION {"citationID":"wf6aKq7f","properties":{"formattedCitation":"\\super 29\\nosupersub{}","plainCitation":"29","noteIndex":0},"citationItems":[{"id":578,"uris":["http://zotero.org/groups/5623148/items/3H98A975"],"itemData":{"id":578,"type":"article-journal","abstract":"In 2011, the National Institute on Aging and Alzheimer's Association created separate diagnostic recommendations for the preclinical, mild cognitive impairment, and dementia stages of Alzheimer's disease. Scientific progress in the interim led to an initiative by the National Institute on Aging and Alzheimer's Association to update and unify the 2011 guidelines. This unifying update is labeled a “research framework” because its intended use is for observational and interventional research, not routine clinical care. In the National Institute on Aging and Alzheimer's Association Research Framework, Alzheimer's disease (AD) is defined by its underlying pathologic processes that can be documented by postmortem examination or in vivo by biomarkers. The diagnosis is not based on the clinical consequences of the disease (i.e., symptoms/signs) in this research framework, which shifts the definition of AD in living people from a syndromal to a biological construct. The research framework focuses on the diagnosis of AD with biomarkers in living persons. Biomarkers are grouped into those of β amyloid deposition, pathologic tau, and neurodegeneration [AT(N)]. This ATN classification system groups different biomarkers (imaging and biofluids) by the pathologic process each measures. The AT(N) system is flexible in that new biomarkers can be added to the three existing AT(N) groups, and new biomarker groups beyond AT(N) can be added when they become available. We focus on AD as a continuum, and cognitive staging may be accomplished using continuous measures. However, we also outline two different categorical cognitive schemes for staging the severity of cognitive impairment: a scheme using three traditional syndromal categories and a six-stage numeric scheme. It is important to stress that this framework seeks to create a common language with which investigators can generate and test hypotheses about the interactions among different pathologic processes (denoted by biomarkers) and cognitive symptoms. We appreciate the concern that this biomarker-based research framework has the potential to be misused. Therefore, we emphasize, first, it is premature and inappropriate to use this research framework in general medical practice. Second, this research framework should not be used to restrict alternative approaches to hypothesis testing that do not use biomarkers. There will be situations where biomarkers are not available or requiring them would be counterproductive to the specific research goals (discussed in more detail later in the document). Thus, biomarker-based research should not be considered a template for all research into age-related cognitive impairment and dementia; rather, it should be applied when it is fit for the purpose of the specific research goals of a study. Importantly, this framework should be examined in diverse populations. Although it is possible that β-amyloid plaques and neurofibrillary tau deposits are not causal in AD pathogenesis, it is these abnormal protein deposits that define AD as a unique neurodegenerative disease among different disorders that can lead to dementia. We envision that defining AD as a biological construct will enable a more accurate characterization and understanding of the sequence of events that lead to cognitive impairment that is associated with AD, as well as the multifactorial etiology of dementia. This approach also will enable a more precise approach to interventional trials where specific pathways can be targeted in the disease process and in the appropriate people.","container-title":"Alzheimer's &amp; Dementia","DOI":"10.1016/j.jalz.2018.02.018","ISSN":"1552-5260","issue":"4","journalAbbreviation":"Alzheimer's &amp; Dementia","page":"535-562","source":"ScienceDirect","title":"NIA-AA Research Framework: Toward a biological definition of Alzheimer's disease","title-short":"NIA-AA Research Framework","volume":"14","author":[{"family":"Jack","given":"Clifford R."},{"family":"Bennett","given":"David A."},{"family":"Blennow","given":"Kaj"},{"family":"Carrillo","given":"Maria C."},{"family":"Dunn","given":"Billy"},{"family":"Haeberlein","given":"Samantha Budd"},{"family":"Holtzman","given":"David M."},{"family":"Jagust","given":"William"},{"family":"Jessen","given":"Frank"},{"family":"Karlawish","given":"Jason"},{"family":"Liu","given":"Enchi"},{"family":"Molinuevo","given":"Jose Luis"},{"family":"Montine","given":"Thomas"},{"family":"Phelps","given":"Creighton"},{"family":"Rankin","given":"Katherine P."},{"family":"Rowe","given":"Christopher C."},{"family":"Scheltens","given":"Philip"},{"family":"Siemers","given":"Eric"},{"family":"Snyder","given":"Heather M."},{"family":"Sperling","given":"Reisa"},{"family":"Elliott","given":"Cerise"},{"family":"Masliah","given":"Eliezer"},{"family":"Ryan","given":"Laurie"},{"family":"Silverberg","given":"Nina"}],"issued":{"date-parts":[["2018",4,1]]}}}],"schema":"https://github.com/citation-style-language/schema/raw/master/csl-citation.json"} </w:instrText>
      </w:r>
      <w:r w:rsidRPr="00DD3983" w:rsidR="00F667F2">
        <w:rPr>
          <w:rStyle w:val="normaltextrun"/>
          <w:rFonts w:ascii="Arial" w:hAnsi="Arial" w:cs="Arial" w:eastAsiaTheme="majorEastAsia"/>
          <w:color w:val="000000"/>
          <w:sz w:val="22"/>
          <w:szCs w:val="22"/>
        </w:rPr>
        <w:fldChar w:fldCharType="separate"/>
      </w:r>
      <w:r w:rsidRPr="00025355" w:rsidR="00025355">
        <w:rPr>
          <w:rFonts w:ascii="Arial" w:hAnsi="Arial" w:cs="Arial"/>
          <w:sz w:val="22"/>
          <w:vertAlign w:val="superscript"/>
        </w:rPr>
        <w:t>29</w:t>
      </w:r>
      <w:r w:rsidRPr="00DD3983" w:rsidR="00F667F2">
        <w:rPr>
          <w:rStyle w:val="normaltextrun"/>
          <w:rFonts w:ascii="Arial" w:hAnsi="Arial" w:cs="Arial" w:eastAsiaTheme="majorEastAsia"/>
          <w:color w:val="000000"/>
          <w:sz w:val="22"/>
          <w:szCs w:val="22"/>
        </w:rPr>
        <w:fldChar w:fldCharType="end"/>
      </w:r>
      <w:r w:rsidRPr="00DD3983">
        <w:rPr>
          <w:rStyle w:val="normaltextrun"/>
          <w:rFonts w:ascii="Arial" w:hAnsi="Arial" w:cs="Arial" w:eastAsiaTheme="majorEastAsia"/>
          <w:color w:val="000000"/>
          <w:sz w:val="22"/>
          <w:szCs w:val="22"/>
        </w:rPr>
        <w:t xml:space="preserve"> biomedical (n=</w:t>
      </w:r>
      <w:r w:rsidRPr="00DD3983" w:rsidR="00AD0976">
        <w:rPr>
          <w:rStyle w:val="normaltextrun"/>
          <w:rFonts w:ascii="Arial" w:hAnsi="Arial" w:cs="Arial" w:eastAsiaTheme="majorEastAsia"/>
          <w:color w:val="000000"/>
          <w:sz w:val="22"/>
          <w:szCs w:val="22"/>
        </w:rPr>
        <w:t>95</w:t>
      </w:r>
      <w:r w:rsidRPr="00DD3983">
        <w:rPr>
          <w:rStyle w:val="normaltextrun"/>
          <w:rFonts w:ascii="Arial" w:hAnsi="Arial" w:cs="Arial" w:eastAsiaTheme="majorEastAsia"/>
          <w:color w:val="000000"/>
          <w:sz w:val="22"/>
          <w:szCs w:val="22"/>
        </w:rPr>
        <w:t>), neuropsychological (n=29), and public health (n=</w:t>
      </w:r>
      <w:r w:rsidRPr="00DD3983" w:rsidR="00AD0976">
        <w:rPr>
          <w:rStyle w:val="normaltextrun"/>
          <w:rFonts w:ascii="Arial" w:hAnsi="Arial" w:cs="Arial" w:eastAsiaTheme="majorEastAsia"/>
          <w:color w:val="000000"/>
          <w:sz w:val="22"/>
          <w:szCs w:val="22"/>
        </w:rPr>
        <w:t>27</w:t>
      </w:r>
      <w:r w:rsidRPr="00DD3983">
        <w:rPr>
          <w:rStyle w:val="normaltextrun"/>
          <w:rFonts w:ascii="Arial" w:hAnsi="Arial" w:cs="Arial" w:eastAsiaTheme="majorEastAsia"/>
          <w:color w:val="000000"/>
          <w:sz w:val="22"/>
          <w:szCs w:val="22"/>
        </w:rPr>
        <w:t xml:space="preserve">). This organization reflects the multifaceted nature of AD diagnosis, which requires integration across molecular, cognitive, and societal levels. The biomedical </w:t>
      </w:r>
      <w:r w:rsidRPr="00DD3983" w:rsidR="00926640">
        <w:rPr>
          <w:rStyle w:val="normaltextrun"/>
          <w:rFonts w:ascii="Arial" w:hAnsi="Arial" w:cs="Arial" w:eastAsiaTheme="majorEastAsia"/>
          <w:color w:val="000000"/>
          <w:sz w:val="22"/>
          <w:szCs w:val="22"/>
        </w:rPr>
        <w:t>discipline</w:t>
      </w:r>
      <w:r w:rsidRPr="00DD3983">
        <w:rPr>
          <w:rStyle w:val="normaltextrun"/>
          <w:rFonts w:ascii="Arial" w:hAnsi="Arial" w:cs="Arial" w:eastAsiaTheme="majorEastAsia"/>
          <w:color w:val="000000"/>
          <w:sz w:val="22"/>
          <w:szCs w:val="22"/>
        </w:rPr>
        <w:t xml:space="preserve"> encompasses barriers related to physiological markers and imaging techniques. The neuropsychological d</w:t>
      </w:r>
      <w:r w:rsidRPr="00DD3983" w:rsidR="00CF4230">
        <w:rPr>
          <w:rStyle w:val="normaltextrun"/>
          <w:rFonts w:ascii="Arial" w:hAnsi="Arial" w:cs="Arial" w:eastAsiaTheme="majorEastAsia"/>
          <w:color w:val="000000"/>
          <w:sz w:val="22"/>
          <w:szCs w:val="22"/>
        </w:rPr>
        <w:t>iscipline</w:t>
      </w:r>
      <w:r w:rsidRPr="00DD3983">
        <w:rPr>
          <w:rStyle w:val="normaltextrun"/>
          <w:rFonts w:ascii="Arial" w:hAnsi="Arial" w:cs="Arial" w:eastAsiaTheme="majorEastAsia"/>
          <w:color w:val="000000"/>
          <w:sz w:val="22"/>
          <w:szCs w:val="22"/>
        </w:rPr>
        <w:t xml:space="preserve"> addresses challenges in cognitive assessment and interpretation. The public health </w:t>
      </w:r>
      <w:r w:rsidRPr="00DD3983" w:rsidR="00CF4230">
        <w:rPr>
          <w:rStyle w:val="normaltextrun"/>
          <w:rFonts w:ascii="Arial" w:hAnsi="Arial" w:cs="Arial" w:eastAsiaTheme="majorEastAsia"/>
          <w:color w:val="000000"/>
          <w:sz w:val="22"/>
          <w:szCs w:val="22"/>
        </w:rPr>
        <w:t>discipline</w:t>
      </w:r>
      <w:r w:rsidRPr="00DD3983">
        <w:rPr>
          <w:rStyle w:val="normaltextrun"/>
          <w:rFonts w:ascii="Arial" w:hAnsi="Arial" w:cs="Arial" w:eastAsiaTheme="majorEastAsia"/>
          <w:color w:val="000000"/>
          <w:sz w:val="22"/>
          <w:szCs w:val="22"/>
        </w:rPr>
        <w:t xml:space="preserve"> examines systemic barriers affecting access, equity, and implementation.</w:t>
      </w:r>
      <w:r w:rsidRPr="00DD3983" w:rsidR="008C6A8A">
        <w:rPr>
          <w:rStyle w:val="normaltextrun"/>
          <w:rFonts w:ascii="Arial" w:hAnsi="Arial" w:cs="Arial" w:eastAsiaTheme="majorEastAsia"/>
          <w:color w:val="000000"/>
          <w:sz w:val="22"/>
          <w:szCs w:val="22"/>
        </w:rPr>
        <w:t xml:space="preserve"> </w:t>
      </w:r>
      <w:r w:rsidRPr="00DD3983" w:rsidR="00B71DF9">
        <w:rPr>
          <w:rStyle w:val="normaltextrun"/>
          <w:rFonts w:ascii="Arial" w:hAnsi="Arial" w:cs="Arial" w:eastAsiaTheme="majorEastAsia"/>
          <w:color w:val="000000"/>
          <w:sz w:val="22"/>
          <w:szCs w:val="22"/>
        </w:rPr>
        <w:t>Within these disciplines</w:t>
      </w:r>
      <w:r w:rsidRPr="00DD3983" w:rsidR="00982E74">
        <w:rPr>
          <w:rStyle w:val="normaltextrun"/>
          <w:rFonts w:ascii="Arial" w:hAnsi="Arial" w:cs="Arial" w:eastAsiaTheme="majorEastAsia"/>
          <w:color w:val="000000"/>
          <w:sz w:val="22"/>
          <w:szCs w:val="22"/>
        </w:rPr>
        <w:t>,</w:t>
      </w:r>
      <w:r w:rsidRPr="00DD3983" w:rsidR="003F0334">
        <w:rPr>
          <w:rStyle w:val="normaltextrun"/>
          <w:rFonts w:ascii="Arial" w:hAnsi="Arial" w:cs="Arial" w:eastAsiaTheme="majorEastAsia"/>
          <w:color w:val="000000"/>
          <w:sz w:val="22"/>
          <w:szCs w:val="22"/>
        </w:rPr>
        <w:t xml:space="preserve"> limitations</w:t>
      </w:r>
      <w:r w:rsidRPr="00DD3983" w:rsidR="00982E74">
        <w:rPr>
          <w:rStyle w:val="normaltextrun"/>
          <w:rFonts w:ascii="Arial" w:hAnsi="Arial" w:cs="Arial" w:eastAsiaTheme="majorEastAsia"/>
          <w:color w:val="000000"/>
          <w:sz w:val="22"/>
          <w:szCs w:val="22"/>
        </w:rPr>
        <w:t xml:space="preserve"> that </w:t>
      </w:r>
      <w:proofErr w:type="gramStart"/>
      <w:r w:rsidRPr="00DD3983" w:rsidR="00982E74">
        <w:rPr>
          <w:rStyle w:val="normaltextrun"/>
          <w:rFonts w:ascii="Arial" w:hAnsi="Arial" w:cs="Arial" w:eastAsiaTheme="majorEastAsia"/>
          <w:color w:val="000000"/>
          <w:sz w:val="22"/>
          <w:szCs w:val="22"/>
        </w:rPr>
        <w:t>were shared</w:t>
      </w:r>
      <w:proofErr w:type="gramEnd"/>
      <w:r w:rsidRPr="00DD3983" w:rsidR="00982E74">
        <w:rPr>
          <w:rStyle w:val="normaltextrun"/>
          <w:rFonts w:ascii="Arial" w:hAnsi="Arial" w:cs="Arial" w:eastAsiaTheme="majorEastAsia"/>
          <w:color w:val="000000"/>
          <w:sz w:val="22"/>
          <w:szCs w:val="22"/>
        </w:rPr>
        <w:t xml:space="preserve"> between multiple</w:t>
      </w:r>
      <w:r w:rsidRPr="00DD3983" w:rsidR="008B6562">
        <w:rPr>
          <w:rStyle w:val="normaltextrun"/>
          <w:rFonts w:ascii="Arial" w:hAnsi="Arial" w:cs="Arial" w:eastAsiaTheme="majorEastAsia"/>
          <w:color w:val="000000"/>
          <w:sz w:val="22"/>
          <w:szCs w:val="22"/>
        </w:rPr>
        <w:t xml:space="preserve"> </w:t>
      </w:r>
      <w:r w:rsidRPr="00DD3983" w:rsidR="00B73221">
        <w:rPr>
          <w:rStyle w:val="normaltextrun"/>
          <w:rFonts w:ascii="Arial" w:hAnsi="Arial" w:cs="Arial" w:eastAsiaTheme="majorEastAsia"/>
          <w:color w:val="000000"/>
          <w:sz w:val="22"/>
          <w:szCs w:val="22"/>
        </w:rPr>
        <w:t>articles</w:t>
      </w:r>
      <w:r w:rsidRPr="00DD3983" w:rsidR="006D5E08">
        <w:rPr>
          <w:rStyle w:val="normaltextrun"/>
          <w:rFonts w:ascii="Arial" w:hAnsi="Arial" w:cs="Arial" w:eastAsiaTheme="majorEastAsia"/>
          <w:color w:val="000000"/>
          <w:sz w:val="22"/>
          <w:szCs w:val="22"/>
        </w:rPr>
        <w:t xml:space="preserve"> were identified and </w:t>
      </w:r>
      <w:r w:rsidRPr="00DD3983" w:rsidR="00134DD7">
        <w:rPr>
          <w:rStyle w:val="normaltextrun"/>
          <w:rFonts w:ascii="Arial" w:hAnsi="Arial" w:cs="Arial" w:eastAsiaTheme="majorEastAsia"/>
          <w:color w:val="000000"/>
          <w:sz w:val="22"/>
          <w:szCs w:val="22"/>
        </w:rPr>
        <w:t xml:space="preserve">subsequently </w:t>
      </w:r>
      <w:r w:rsidRPr="00DD3983" w:rsidR="006D5E08">
        <w:rPr>
          <w:rStyle w:val="normaltextrun"/>
          <w:rFonts w:ascii="Arial" w:hAnsi="Arial" w:cs="Arial" w:eastAsiaTheme="majorEastAsia"/>
          <w:color w:val="000000"/>
          <w:sz w:val="22"/>
          <w:szCs w:val="22"/>
        </w:rPr>
        <w:t>grouped</w:t>
      </w:r>
      <w:r w:rsidRPr="00DD3983" w:rsidR="00AC02C0">
        <w:rPr>
          <w:rStyle w:val="normaltextrun"/>
          <w:rFonts w:ascii="Arial" w:hAnsi="Arial" w:cs="Arial" w:eastAsiaTheme="majorEastAsia"/>
          <w:color w:val="000000"/>
          <w:sz w:val="22"/>
          <w:szCs w:val="22"/>
        </w:rPr>
        <w:t xml:space="preserve"> into</w:t>
      </w:r>
      <w:r w:rsidRPr="00DD3983" w:rsidR="00ED1B96">
        <w:rPr>
          <w:rStyle w:val="normaltextrun"/>
          <w:rFonts w:ascii="Arial" w:hAnsi="Arial" w:cs="Arial" w:eastAsiaTheme="majorEastAsia"/>
          <w:color w:val="000000"/>
          <w:sz w:val="22"/>
          <w:szCs w:val="22"/>
        </w:rPr>
        <w:t xml:space="preserve"> </w:t>
      </w:r>
      <w:r w:rsidRPr="00DD3983" w:rsidR="00CB2657">
        <w:rPr>
          <w:rStyle w:val="normaltextrun"/>
          <w:rFonts w:ascii="Arial" w:hAnsi="Arial" w:cs="Arial" w:eastAsiaTheme="majorEastAsia"/>
          <w:color w:val="000000"/>
          <w:sz w:val="22"/>
          <w:szCs w:val="22"/>
        </w:rPr>
        <w:t>larger themes of barrier origin</w:t>
      </w:r>
      <w:r w:rsidRPr="00DD3983" w:rsidR="00E33912">
        <w:rPr>
          <w:rStyle w:val="normaltextrun"/>
          <w:rFonts w:ascii="Arial" w:hAnsi="Arial" w:cs="Arial" w:eastAsiaTheme="majorEastAsia"/>
          <w:color w:val="000000"/>
          <w:sz w:val="22"/>
          <w:szCs w:val="22"/>
        </w:rPr>
        <w:t>.</w:t>
      </w:r>
    </w:p>
    <w:p w:rsidRPr="00722818" w:rsidR="00E255C2" w:rsidP="00722818" w:rsidRDefault="00E255C2" w14:paraId="42ECFD8E" w14:textId="6244097E">
      <w:pPr>
        <w:pStyle w:val="Heading2"/>
        <w:rPr>
          <w:rStyle w:val="normaltextrun"/>
        </w:rPr>
      </w:pPr>
      <w:r w:rsidRPr="00722818">
        <w:rPr>
          <w:rStyle w:val="normaltextrun"/>
        </w:rPr>
        <w:t>Biomedi</w:t>
      </w:r>
      <w:r w:rsidRPr="00722818" w:rsidR="002C368E">
        <w:rPr>
          <w:rStyle w:val="normaltextrun"/>
        </w:rPr>
        <w:t>cine</w:t>
      </w:r>
    </w:p>
    <w:p w:rsidRPr="00DD3983" w:rsidR="004000EE" w:rsidP="006618CC" w:rsidRDefault="006F675A" w14:paraId="39B42F56" w14:textId="7003C312">
      <w:pPr>
        <w:pStyle w:val="NormalWeb"/>
        <w:jc w:val="both"/>
        <w:rPr>
          <w:rFonts w:ascii="Arial" w:hAnsi="Arial" w:cs="Arial"/>
          <w:sz w:val="22"/>
          <w:szCs w:val="22"/>
        </w:rPr>
      </w:pPr>
      <w:r w:rsidRPr="00DD3983">
        <w:rPr>
          <w:rFonts w:ascii="Arial" w:hAnsi="Arial" w:cs="Arial"/>
          <w:sz w:val="22"/>
          <w:szCs w:val="22"/>
        </w:rPr>
        <w:t xml:space="preserve">Articles </w:t>
      </w:r>
      <w:r w:rsidRPr="00DD3983" w:rsidR="00EC5865">
        <w:rPr>
          <w:rFonts w:ascii="Arial" w:hAnsi="Arial" w:cs="Arial"/>
          <w:sz w:val="22"/>
          <w:szCs w:val="22"/>
        </w:rPr>
        <w:t>identified</w:t>
      </w:r>
      <w:r w:rsidRPr="00DD3983">
        <w:rPr>
          <w:rFonts w:ascii="Arial" w:hAnsi="Arial" w:cs="Arial"/>
          <w:sz w:val="22"/>
          <w:szCs w:val="22"/>
        </w:rPr>
        <w:t xml:space="preserve"> within the </w:t>
      </w:r>
      <w:r w:rsidRPr="00DD3983" w:rsidR="00EB4EA7">
        <w:rPr>
          <w:rFonts w:ascii="Arial" w:hAnsi="Arial" w:cs="Arial"/>
          <w:sz w:val="22"/>
          <w:szCs w:val="22"/>
        </w:rPr>
        <w:t>discipline of biomedicine</w:t>
      </w:r>
      <w:r w:rsidRPr="00DD3983" w:rsidR="007C66A0">
        <w:rPr>
          <w:rFonts w:ascii="Arial" w:hAnsi="Arial" w:cs="Arial"/>
          <w:sz w:val="22"/>
          <w:szCs w:val="22"/>
        </w:rPr>
        <w:t xml:space="preserve"> primarily</w:t>
      </w:r>
      <w:r w:rsidRPr="00DD3983" w:rsidR="0006613D">
        <w:rPr>
          <w:rFonts w:ascii="Arial" w:hAnsi="Arial" w:cs="Arial"/>
          <w:sz w:val="22"/>
          <w:szCs w:val="22"/>
        </w:rPr>
        <w:t xml:space="preserve"> </w:t>
      </w:r>
      <w:r w:rsidRPr="00DD3983" w:rsidR="007C66A0">
        <w:rPr>
          <w:rFonts w:ascii="Arial" w:hAnsi="Arial" w:cs="Arial"/>
          <w:sz w:val="22"/>
          <w:szCs w:val="22"/>
        </w:rPr>
        <w:t>outlined limitations related to</w:t>
      </w:r>
      <w:r w:rsidRPr="00DD3983" w:rsidR="003D115E">
        <w:rPr>
          <w:rFonts w:ascii="Arial" w:hAnsi="Arial" w:cs="Arial"/>
          <w:sz w:val="22"/>
          <w:szCs w:val="22"/>
        </w:rPr>
        <w:t xml:space="preserve"> </w:t>
      </w:r>
      <w:r w:rsidRPr="00DD3983" w:rsidR="00654AB6">
        <w:rPr>
          <w:rFonts w:ascii="Arial" w:hAnsi="Arial" w:cs="Arial"/>
          <w:sz w:val="22"/>
          <w:szCs w:val="22"/>
        </w:rPr>
        <w:t>biomarkers</w:t>
      </w:r>
      <w:r w:rsidRPr="00DD3983" w:rsidR="00F86F33">
        <w:rPr>
          <w:rFonts w:ascii="Arial" w:hAnsi="Arial" w:cs="Arial"/>
          <w:sz w:val="22"/>
          <w:szCs w:val="22"/>
        </w:rPr>
        <w:t xml:space="preserve"> and neuroimaging techniques</w:t>
      </w:r>
      <w:r w:rsidRPr="00DD3983" w:rsidR="005C20E1">
        <w:rPr>
          <w:rFonts w:ascii="Arial" w:hAnsi="Arial" w:cs="Arial"/>
          <w:sz w:val="22"/>
          <w:szCs w:val="22"/>
        </w:rPr>
        <w:t xml:space="preserve"> to detect physiological signs of AD</w:t>
      </w:r>
      <w:r w:rsidRPr="00DD3983" w:rsidR="002239C6">
        <w:rPr>
          <w:rFonts w:ascii="Arial" w:hAnsi="Arial" w:cs="Arial"/>
          <w:sz w:val="22"/>
          <w:szCs w:val="22"/>
        </w:rPr>
        <w:t xml:space="preserve">. These tools included </w:t>
      </w:r>
      <w:r w:rsidRPr="00DD3983" w:rsidR="00E1104A">
        <w:rPr>
          <w:rFonts w:ascii="Arial" w:hAnsi="Arial" w:cs="Arial"/>
          <w:sz w:val="22"/>
          <w:szCs w:val="22"/>
        </w:rPr>
        <w:t xml:space="preserve">CSF biomarkers, blood-based biomarkers, </w:t>
      </w:r>
      <w:r w:rsidRPr="00DD3983" w:rsidR="00077594">
        <w:rPr>
          <w:rFonts w:ascii="Arial" w:hAnsi="Arial" w:cs="Arial"/>
          <w:sz w:val="22"/>
          <w:szCs w:val="22"/>
        </w:rPr>
        <w:t>structural imaging</w:t>
      </w:r>
      <w:r w:rsidRPr="00DD3983" w:rsidR="00E84521">
        <w:rPr>
          <w:rFonts w:ascii="Arial" w:hAnsi="Arial" w:cs="Arial"/>
          <w:sz w:val="22"/>
          <w:szCs w:val="22"/>
        </w:rPr>
        <w:t xml:space="preserve"> such as</w:t>
      </w:r>
      <w:r w:rsidRPr="00DD3983" w:rsidR="00077594">
        <w:rPr>
          <w:rFonts w:ascii="Arial" w:hAnsi="Arial" w:cs="Arial"/>
          <w:sz w:val="22"/>
          <w:szCs w:val="22"/>
        </w:rPr>
        <w:t xml:space="preserve"> MRI, and functional imaging </w:t>
      </w:r>
      <w:r w:rsidRPr="00DD3983" w:rsidR="00E7041F">
        <w:rPr>
          <w:rFonts w:ascii="Arial" w:hAnsi="Arial" w:cs="Arial"/>
          <w:sz w:val="22"/>
          <w:szCs w:val="22"/>
        </w:rPr>
        <w:t>such as FDG-PET</w:t>
      </w:r>
      <w:r w:rsidRPr="00DD3983" w:rsidR="00374081">
        <w:rPr>
          <w:rFonts w:ascii="Arial" w:hAnsi="Arial" w:cs="Arial"/>
          <w:sz w:val="22"/>
          <w:szCs w:val="22"/>
        </w:rPr>
        <w:t xml:space="preserve">. </w:t>
      </w:r>
      <w:r w:rsidRPr="00DD3983" w:rsidR="00403BB7">
        <w:rPr>
          <w:rFonts w:ascii="Arial" w:hAnsi="Arial" w:cs="Arial"/>
          <w:sz w:val="22"/>
          <w:szCs w:val="22"/>
        </w:rPr>
        <w:t xml:space="preserve">Of the articles </w:t>
      </w:r>
      <w:r w:rsidRPr="00DD3983" w:rsidR="00546618">
        <w:rPr>
          <w:rFonts w:ascii="Arial" w:hAnsi="Arial" w:cs="Arial"/>
          <w:sz w:val="22"/>
          <w:szCs w:val="22"/>
        </w:rPr>
        <w:t>examined</w:t>
      </w:r>
      <w:r w:rsidRPr="00DD3983" w:rsidR="007C6A75">
        <w:rPr>
          <w:rFonts w:ascii="Arial" w:hAnsi="Arial" w:cs="Arial"/>
          <w:sz w:val="22"/>
          <w:szCs w:val="22"/>
        </w:rPr>
        <w:t xml:space="preserve"> the main barrier sources that were identified</w:t>
      </w:r>
      <w:r w:rsidRPr="00DD3983" w:rsidR="00C44460">
        <w:rPr>
          <w:rFonts w:ascii="Arial" w:hAnsi="Arial" w:cs="Arial"/>
          <w:sz w:val="22"/>
          <w:szCs w:val="22"/>
        </w:rPr>
        <w:t xml:space="preserve"> </w:t>
      </w:r>
      <w:r w:rsidRPr="00DD3983" w:rsidR="007C6A75">
        <w:rPr>
          <w:rFonts w:ascii="Arial" w:hAnsi="Arial" w:cs="Arial"/>
          <w:sz w:val="22"/>
          <w:szCs w:val="22"/>
        </w:rPr>
        <w:t>included:</w:t>
      </w:r>
      <w:r w:rsidRPr="00DD3983" w:rsidR="009B686E">
        <w:rPr>
          <w:rFonts w:ascii="Arial" w:hAnsi="Arial" w:cs="Arial"/>
          <w:sz w:val="22"/>
          <w:szCs w:val="22"/>
        </w:rPr>
        <w:t xml:space="preserve"> invasiveness, limited generalizability, lack of standardized protocols, </w:t>
      </w:r>
      <w:r w:rsidRPr="00DD3983" w:rsidR="00710A1F">
        <w:rPr>
          <w:rFonts w:ascii="Arial" w:hAnsi="Arial" w:cs="Arial"/>
          <w:sz w:val="22"/>
          <w:szCs w:val="22"/>
        </w:rPr>
        <w:t>inconsisten</w:t>
      </w:r>
      <w:r w:rsidRPr="00DD3983" w:rsidR="0055343C">
        <w:rPr>
          <w:rFonts w:ascii="Arial" w:hAnsi="Arial" w:cs="Arial"/>
          <w:sz w:val="22"/>
          <w:szCs w:val="22"/>
        </w:rPr>
        <w:t xml:space="preserve">t </w:t>
      </w:r>
      <w:r w:rsidRPr="00DD3983" w:rsidR="009B686E">
        <w:rPr>
          <w:rFonts w:ascii="Arial" w:hAnsi="Arial" w:cs="Arial"/>
          <w:sz w:val="22"/>
          <w:szCs w:val="22"/>
        </w:rPr>
        <w:t>accuracy</w:t>
      </w:r>
      <w:r w:rsidRPr="00DD3983" w:rsidR="002724E4">
        <w:rPr>
          <w:rFonts w:ascii="Arial" w:hAnsi="Arial" w:cs="Arial"/>
          <w:sz w:val="22"/>
          <w:szCs w:val="22"/>
        </w:rPr>
        <w:t>, and</w:t>
      </w:r>
      <w:r w:rsidRPr="00DD3983" w:rsidR="009B686E">
        <w:rPr>
          <w:rFonts w:ascii="Arial" w:hAnsi="Arial" w:cs="Arial"/>
          <w:sz w:val="22"/>
          <w:szCs w:val="22"/>
        </w:rPr>
        <w:t xml:space="preserve"> cost</w:t>
      </w:r>
      <w:r w:rsidRPr="00DD3983" w:rsidR="002724E4">
        <w:rPr>
          <w:rFonts w:ascii="Arial" w:hAnsi="Arial" w:cs="Arial"/>
          <w:sz w:val="22"/>
          <w:szCs w:val="22"/>
        </w:rPr>
        <w:t xml:space="preserve"> and accessibility</w:t>
      </w:r>
      <w:r w:rsidRPr="00DD3983" w:rsidR="00C56D8B">
        <w:rPr>
          <w:rFonts w:ascii="Arial" w:hAnsi="Arial" w:cs="Arial"/>
          <w:sz w:val="22"/>
          <w:szCs w:val="22"/>
        </w:rPr>
        <w:t>.</w:t>
      </w:r>
    </w:p>
    <w:p w:rsidRPr="00CA1A50" w:rsidR="00CF31A7" w:rsidP="00680402" w:rsidRDefault="00616E7F" w14:paraId="6E0F38E8" w14:textId="0E24B30D">
      <w:pPr>
        <w:pStyle w:val="Heading3"/>
        <w:spacing w:before="0" w:after="0"/>
      </w:pPr>
      <w:r w:rsidRPr="00722818">
        <w:t>Invasiveness</w:t>
      </w:r>
    </w:p>
    <w:p w:rsidRPr="00CD7DC1" w:rsidR="005D70C2" w:rsidP="00CD7DC1" w:rsidRDefault="00616E7F" w14:paraId="6B5FE099" w14:textId="32F0F40F">
      <w:pPr>
        <w:pStyle w:val="NormalWeb"/>
        <w:spacing w:before="0" w:beforeAutospacing="0" w:after="0" w:afterAutospacing="0"/>
        <w:jc w:val="both"/>
        <w:rPr>
          <w:rFonts w:ascii="Arial" w:hAnsi="Arial" w:cs="Arial"/>
          <w:sz w:val="22"/>
          <w:szCs w:val="22"/>
        </w:rPr>
      </w:pPr>
      <w:r w:rsidRPr="00DD3983">
        <w:rPr>
          <w:rFonts w:ascii="Arial" w:hAnsi="Arial" w:cs="Arial"/>
          <w:sz w:val="22"/>
          <w:szCs w:val="22"/>
        </w:rPr>
        <w:t>Diagnostic tools for AD often involve invasive procedures, which can limit patient acceptance and clinical feasibility. CSF biomarkers, such as the Aβ42/40 ratio, provide high diagnostic accuracy (sensitivity 0.94, specificity 0.82) but require lumbar punctures, a procedure that is both uncomfortable and associated with risks such as headaches and infections</w:t>
      </w:r>
      <w:r w:rsidR="008021A3">
        <w:rPr>
          <w:rFonts w:ascii="Arial" w:hAnsi="Arial" w:cs="Arial"/>
          <w:sz w:val="22"/>
          <w:szCs w:val="22"/>
        </w:rPr>
        <w:t>.</w:t>
      </w:r>
      <w:r w:rsidR="006673FF">
        <w:rPr>
          <w:rFonts w:ascii="Arial" w:hAnsi="Arial" w:cs="Arial"/>
          <w:sz w:val="22"/>
          <w:szCs w:val="22"/>
        </w:rPr>
        <w:fldChar w:fldCharType="begin"/>
      </w:r>
      <w:r w:rsidR="00025355">
        <w:rPr>
          <w:rFonts w:ascii="Arial" w:hAnsi="Arial" w:cs="Arial"/>
          <w:sz w:val="22"/>
          <w:szCs w:val="22"/>
        </w:rPr>
        <w:instrText xml:space="preserve"> ADDIN ZOTERO_ITEM CSL_CITATION {"citationID":"5wDvjjat","properties":{"formattedCitation":"\\super 30\\uc0\\u8211{}32\\nosupersub{}","plainCitation":"30–32","noteIndex":0},"citationItems":[{"id":"7XVybpWP/GxY3UDA6","uris":["http://zotero.org/users/14808074/items/DTFA74ME"],"itemData":{"id":1002,"type":"article-journal","abstract":"Biomarker testing is recommended for the accurate and timely diagnosis of Alzheimer's disease (AD). Using illustrative case narratives we consider how cerebrospinal fluid (CSF) biomarker tests may be used in different presentations of cognitive impairment to facilitate timely and differential diagnosis, improving diagnostic accuracy, providing prognostic information, and guiding personalized management in diverse scenarios. Evidence shows that (1) CSF ratios are superior to amyloid beta (Aβ)1-42 alone; (2) concordance of CSF ratios to amyloid positron emission tomography (PET) is better than Aβ1-42 alone; and (3) phosphorylated tau (p-tau)/Aβ1-42 ratio is superior to p-tau alone. CSF biomarkers are recommended for the exclusion of AD as the underlying cause of cognitive impairment, diagnosis of AD at an early stage, differential diagnosis of AD in individuals presenting with other neuropsychiatric symptoms, accurate diagnosis of AD in an atypical presentation, and for clinical trial enrichment. Highlights Cerebrospinal fluid (CSF) Alzheimer's disease (AD) biomarker testing may be underused outside specialist centers. CSF biomarkers improve diagnostic accuracy, guiding personalized management of AD. CSF ratios (amyloid beta [Aβ]1-42/Aβ1-40 and phosphorylated tau/Aβ1-42) perform better than single markers. CSF ratios produce fewer false-negative and false-positive results than individual markers. CSF biomarkers should be included in diagnostic work-up of AD and mild cognitive impairment due to AD.","container-title":"Alzheimer's &amp; Dementia: Diagnosis, Assessment &amp; Disease Monitoring","DOI":"10.1002/dad2.12314","ISSN":"2352-8729","issue":"1","language":"en","license":"© 2022 The Authors. Alzheimer's &amp; Dementia: Diagnosis, Assessment &amp; Disease Monitoring published by Wiley Periodicals, LLC on behalf of Alzheimer's Association","note":"_eprint: https://onlinelibrary.wiley.com/doi/pdf/10.1002/dad2.12314","page":"e12314","source":"Wiley Online Library","title":"Clinical application of CSF biomarkers for Alzheimer's disease: From rationale to ratios","title-short":"Clinical application of CSF biomarkers for Alzheimer's disease","volume":"14","author":[{"family":"Bouwman","given":"Femke H."},{"family":"Frisoni","given":"Giovanni B."},{"family":"Johnson","given":"Sterling C."},{"family":"Chen","given":"Xiaochun"},{"family":"Engelborghs","given":"Sebastiaan"},{"family":"Ikeuchi","given":"Takeshi"},{"family":"Paquet","given":"Claire"},{"family":"Ritchie","given":"Craig"},{"family":"Bozeat","given":"Sasha"},{"family":"Quevenco","given":"Frances-Catherine"},{"family":"Teunissen","given":"Charlotte"}],"issued":{"date-parts":[["2022"]]}}},{"id":"7XVybpWP/n5Qj5bkw","uris":["http://zotero.org/users/14808074/items/52ZPFG8B"],"itemData":{"id":1005,"type":"article-journal","abstract":"BACKGROUND: Alzheimer's disease (AD) biomarkers reflect key elements of pathophysiology and improve the diagnostic process. However, their use in routine clinical practice is still limited.\nOBJECTIVE: We aimed to assess neurologists' barriers and enablers to early AD diagnosis using core AD biomarkers.\nMETHODS: We conducted an online study in collaboration with the Spanish Society of Neurology. Neurologists answered a survey exploring their attitudes towards AD diagnosis using biomarkers in mild cognitive impairment (MCI) or mild AD dementia. Multivariate logistic regression analyses were conducted to determine the association between neurologists' characteristics and diagnostic attitudes.\nRESULTS: We included 188 neurologists with a mean age (SD) of 40.6 (11.3) years, 52.7% male. Most participants had access to AD biomarkers, mainly in cerebrospinal fluid (CSF) (89.9%,#x0025;, n = 169). The majority of participants (95.2%,#x0025;, n = 179) considered CSF biomarkers useful for an etiological diagnosis in MCI. However, 85.6% of respondents (n = 161) used them in less than 60% of their MCI patients in routine clinical practice. Facilitating patients and their families to plan for the future was the most frequent enabler for the use of biomarkers. Short consultation time and practicalities associated with the programming of a lumbar puncture were the most common barriers. A younger neurologist age (p = 0.010) and a higher number of patients managed weekly (p = 0.036) were positively associated with the use of biomarkers.\nCONCLUSION: Most neurologists had a favorable attitude to the use of biomarkers, especially in MCI patients. Improvements in resources and consultation time may increase their use in routine clinical practice.","container-title":"Journal of Alzheimer's disease: JAD","DOI":"10.3233/JAD-221160","ISSN":"1875-8908","issue":"1","journalAbbreviation":"J Alzheimers Dis","language":"eng","note":"PMID: 36970902\nPMCID: PMC10200215","page":"275-282","source":"PubMed","title":"Attitudes of Neurologists Toward the Use of Biomarkers in the Diagnosis of Early Alzheimer's Disease","volume":"93","author":[{"family":"Fortea","given":"Juan"},{"family":"García-Arcelay","given":"Elena"},{"family":"Terrancle","given":"Ángeles"},{"family":"Gálvez","given":"Blanca"},{"family":"Díez-Carreras","given":"Verónica"},{"family":"Rebollo","given":"Pablo"},{"family":"Maurino","given":"Jorge"},{"family":"Garcia-Ribas","given":"Guillermo"}],"issued":{"date-parts":[["2023"]]}}},{"id":"7XVybpWP/1hCmGAxJ","uris":["http://zotero.org/users/14808074/items/TXZEGWPP"],"itemData":{"id":1059,"type":"article-journal","abstract":"Background:\nThe Australian Imaging, Biomarkers and Lifestyle (AIBL) Study commenced in 2006 as a prospective study of 1,112 individuals (768 cognitively normal (CN), 133 with mild cognitive impairment (MCI), and 211 with Alzheimer’s disease dementia (AD)) as an ‘Inception cohort’ who underwent detailed ssessments every 18 months. Over the past decade, an additional 1247 subjects have been added as an ‘Enrichment cohort’ (as of 10 April 2019).\n\nObjective:\nHere we provide an overview of these Inception and Enrichment cohorts of more than 8,500 person-years of investigation.\n\nMethods:\nParticipants underwent reassessment every 18 months including comprehensive cognitive testing, neuroimaging (magnetic resonance imaging, MRI; positron emission tomography, PET), biofluid biomarkers and lifestyle evaluations.\n\nResults:\nAIBL has made major contributions to the understanding of the natural history of AD, with cognitive and biological definitions of its three major stages: preclinical, prodromal and clinical. Early deployment of Aβ-amyloid and tau molecular PET imaging and the development of more sensitive and specific blood tests have facilitated the assessment of genetic and environmental factors which affect age at onset and rates of progression.\n\nConclusion:\nThis fifteen-year study provides a large database of highly characterized individuals with longitudinal cognitive, imaging and lifestyle data and biofluid collections, to aid in the development of interventions to delay onset, prevent or treat AD. Harmonization with similar large longitudinal cohort studies is underway to further these aims.","container-title":"Journal of Alzheimer's Disease Reports","DOI":"10.3233/ADR-210005","ISSN":"2542-4823","issue":"1","journalAbbreviation":"J Alzheimers Dis Rep","note":"PMID: 34368630\nPMCID: PMC8293663","page":"443-468","source":"PubMed Central","title":"Fifteen Years of the Australian Imaging, Biomarkers and Lifestyle (AIBL) Study: Progress and Observations from 2,359 Older Adults Spanning the Spectrum from Cognitive Normality to Alzheimer’s Disease","title-short":"Fifteen Years of the Australian Imaging, Biomarkers and Lifestyle (AIBL) Study","volume":"5","author":[{"family":"Fowler","given":"Christopher"},{"family":"Rainey-Smith","given":"Stephanie R."},{"family":"Bird","given":"Sabine"},{"family":"Bomke","given":"Julia"},{"family":"Bourgeat","given":"Pierrick"},{"family":"Brown","given":"Belinda M."},{"family":"Burnham","given":"Samantha C."},{"family":"Bush","given":"Ashley I."},{"family":"Chadunow","given":"Carolyn"},{"family":"Collins","given":"Steven"},{"family":"Doecke","given":"James"},{"family":"Doré","given":"Vincent"},{"family":"Ellis","given":"Kathryn A."},{"family":"Evered","given":"Lis"},{"family":"Fazlollahi","given":"Amir"},{"family":"Fripp","given":"Jurgen"},{"family":"Gardener","given":"Samantha L."},{"family":"Gibson","given":"Simon"},{"family":"Grenfell","given":"Robert"},{"family":"Harrison","given":"Elise"},{"family":"Head","given":"Richard"},{"family":"Jin","given":"Liang"},{"family":"Kamer","given":"Adrian"},{"family":"Lamb","given":"Fiona"},{"family":"Lautenschlager","given":"Nicola T."},{"family":"Laws","given":"Simon M."},{"family":"Li","given":"Qiao-Xin"},{"family":"Lim","given":"Lucy"},{"family":"Lim","given":"Yen Ying"},{"family":"Louey","given":"Andrea"},{"family":"Macaulay","given":"S. Lance"},{"family":"Mackintosh","given":"Lucy"},{"family":"Martins","given":"Ralph N."},{"family":"Maruff","given":"Paul"},{"family":"Masters","given":"Colin L."},{"family":"McBride","given":"Simon"},{"family":"Milicic","given":"Lidija"},{"family":"Peretti","given":"Madeline"},{"family":"Pertile","given":"Kelly"},{"family":"Porter","given":"Tenielle"},{"family":"Radler","given":"Morgan"},{"family":"Rembach","given":"Alan"},{"family":"Robertson","given":"Joanne"},{"family":"Rodrigues","given":"Mark"},{"family":"Rowe","given":"Christopher C."},{"family":"Rumble","given":"Rebecca"},{"family":"Salvado","given":"Olivier"},{"family":"Savage","given":"Greg"},{"family":"Silbert","given":"Brendan"},{"family":"Soh","given":"Magdalene"},{"family":"Sohrabi","given":"Hamid R."},{"family":"Taddei","given":"Kevin"},{"family":"Taddei","given":"Tania"},{"family":"Thai","given":"Christine"},{"family":"Trounson","given":"Brett"},{"family":"Tyrrell","given":"Regan"},{"family":"Vacher","given":"Michael"},{"family":"Varghese","given":"Shiji"},{"family":"Villemagne","given":"Victor L."},{"family":"Weinborn","given":"Michael"},{"family":"Woodward","given":"Michael"},{"family":"Xia","given":"Ying"},{"family":"Ames","given":"David"}],"issued":{"date-parts":[["2021"]]}}}],"schema":"https://github.com/citation-style-language/schema/raw/master/csl-citation.json"} </w:instrText>
      </w:r>
      <w:r w:rsidR="006673FF">
        <w:rPr>
          <w:rFonts w:ascii="Arial" w:hAnsi="Arial" w:cs="Arial"/>
          <w:sz w:val="22"/>
          <w:szCs w:val="22"/>
        </w:rPr>
        <w:fldChar w:fldCharType="separate"/>
      </w:r>
      <w:r w:rsidRPr="00025355" w:rsidR="00025355">
        <w:rPr>
          <w:rFonts w:ascii="Arial" w:hAnsi="Arial" w:cs="Arial"/>
          <w:sz w:val="22"/>
          <w:vertAlign w:val="superscript"/>
        </w:rPr>
        <w:t>30–32</w:t>
      </w:r>
      <w:r w:rsidR="006673FF">
        <w:rPr>
          <w:rFonts w:ascii="Arial" w:hAnsi="Arial" w:cs="Arial"/>
          <w:sz w:val="22"/>
          <w:szCs w:val="22"/>
        </w:rPr>
        <w:fldChar w:fldCharType="end"/>
      </w:r>
      <w:r w:rsidRPr="00DD3983" w:rsidR="00596152">
        <w:rPr>
          <w:rFonts w:ascii="Arial" w:hAnsi="Arial" w:cs="Arial"/>
          <w:sz w:val="22"/>
          <w:szCs w:val="22"/>
        </w:rPr>
        <w:t xml:space="preserve"> </w:t>
      </w:r>
      <w:r w:rsidRPr="00DD3983" w:rsidR="00D7663B">
        <w:rPr>
          <w:rFonts w:ascii="Arial" w:hAnsi="Arial" w:cs="Arial"/>
          <w:sz w:val="22"/>
          <w:szCs w:val="22"/>
        </w:rPr>
        <w:t>Similarly, neuroimaging techniques, including PET and MRI, pose challenges related to patient discomfort. PET scans expose individuals to radiation, although MRI requires prolonged scanning times and may be unsuitable for patients with claustrophobia or metal implants</w:t>
      </w:r>
      <w:r w:rsidR="008021A3">
        <w:rPr>
          <w:rFonts w:ascii="Arial" w:hAnsi="Arial" w:cs="Arial"/>
          <w:sz w:val="22"/>
          <w:szCs w:val="22"/>
        </w:rPr>
        <w:t>.</w:t>
      </w:r>
      <w:r w:rsidRPr="00DD3983" w:rsidR="00451435">
        <w:rPr>
          <w:rFonts w:ascii="Arial" w:hAnsi="Arial" w:cs="Arial"/>
          <w:sz w:val="22"/>
          <w:szCs w:val="22"/>
        </w:rPr>
        <w:fldChar w:fldCharType="begin"/>
      </w:r>
      <w:r w:rsidR="00025355">
        <w:rPr>
          <w:rFonts w:ascii="Arial" w:hAnsi="Arial" w:cs="Arial"/>
          <w:sz w:val="22"/>
          <w:szCs w:val="22"/>
        </w:rPr>
        <w:instrText xml:space="preserve"> ADDIN ZOTERO_ITEM CSL_CITATION {"citationID":"GKYqWPuS","properties":{"formattedCitation":"\\super 33,34\\nosupersub{}","plainCitation":"33,34","noteIndex":0},"citationItems":[{"id":"7XVybpWP/CXL73vw0","uris":["http://zotero.org/users/14808074/items/7XT8RE24"],"itemData":{"id":962,"type":"webpage","title":"Neuroimaging modalities in the detection of Alzheimer's disease-associated biomarkers | Psychoradiology | Oxford Academic","URL":"https://academic.oup.com/psyrad/article/doi/10.1093/psyrad/kkad009/7205306","accessed":{"date-parts":[["2025",3,12]]}}},{"id":"7XVybpWP/tUhQZ36H","uris":["http://zotero.org/users/14808074/items/I5UDKSQZ"],"itemData":{"id":949,"type":"article-journal","abstract":"PET based tools can improve the early diagnosis of Alzheimer's disease (AD) and differential diagnosis of dementia. The importance of identifying individuals at risk of developing dementia among people with subjective cognitive complaints or mild cognitive impairment has clinical, social, and therapeutic implications. Within the two major classes of AD biomarkers currently identified, that is, markers of pathology and neurodegeneration, amyloid- and FDG-PET imaging represent decisive tools for their measurement. As a consequence, the PET tools have been recognized to be of crucial value in the recent guidelines for the early diagnosis of AD and other dementia conditions. The references based recommendations, however, include large PET imaging literature based on visual methods that greatly reduces sensitivity and specificity and lacks a clear cut-off between normal and pathological findings. PET imaging can be assessed using parametric or voxel-wise analyses by comparing the subject's scan with a normative data set, significantly increasing the diagnostic accuracy. This paper is a survey of the relevant literature on FDG and amyloid-PET imaging aimed at providing the value of quantification for the early and differential diagnosis of AD. This allowed a meta-analysis and GRADE analysis revealing high values for PET imaging that might be useful in considering recommendations.","container-title":"BioMed Research International","DOI":"10.1155/2014/785039","ISSN":"2314-6141","journalAbbreviation":"Biomed Res Int","language":"eng","note":"PMID: 24772437\nPMCID: PMC3977528","page":"785039","source":"PubMed","title":"A survey of FDG- and amyloid-PET imaging in dementia and GRADE analysis","volume":"2014","author":[{"family":"Perani","given":"Daniela"},{"family":"Schillaci","given":"Orazio"},{"family":"Padovani","given":"Alessandro"},{"family":"Nobili","given":"Flavio Mariano"},{"family":"Iaccarino","given":"Leonardo"},{"family":"Della Rosa","given":"Pasquale Anthony"},{"family":"Frisoni","given":"Giovanni"},{"family":"Caltagirone","given":"Carlo"}],"issued":{"date-parts":[["2014"]]}}}],"schema":"https://github.com/citation-style-language/schema/raw/master/csl-citation.json"} </w:instrText>
      </w:r>
      <w:r w:rsidRPr="00DD3983" w:rsidR="00451435">
        <w:rPr>
          <w:rFonts w:ascii="Arial" w:hAnsi="Arial" w:cs="Arial"/>
          <w:sz w:val="22"/>
          <w:szCs w:val="22"/>
        </w:rPr>
        <w:fldChar w:fldCharType="separate"/>
      </w:r>
      <w:r w:rsidRPr="00025355" w:rsidR="00025355">
        <w:rPr>
          <w:rFonts w:ascii="Arial" w:hAnsi="Arial" w:cs="Arial"/>
          <w:sz w:val="22"/>
          <w:vertAlign w:val="superscript"/>
        </w:rPr>
        <w:t>33,34</w:t>
      </w:r>
      <w:r w:rsidRPr="00DD3983" w:rsidR="00451435">
        <w:rPr>
          <w:rFonts w:ascii="Arial" w:hAnsi="Arial" w:cs="Arial"/>
          <w:sz w:val="22"/>
          <w:szCs w:val="22"/>
        </w:rPr>
        <w:fldChar w:fldCharType="end"/>
      </w:r>
      <w:r w:rsidR="008021A3">
        <w:rPr>
          <w:rFonts w:ascii="Arial" w:hAnsi="Arial" w:cs="Arial"/>
          <w:sz w:val="22"/>
          <w:szCs w:val="22"/>
        </w:rPr>
        <w:t xml:space="preserve"> </w:t>
      </w:r>
      <w:r w:rsidRPr="00DD3983">
        <w:rPr>
          <w:rFonts w:ascii="Arial" w:hAnsi="Arial" w:cs="Arial"/>
          <w:sz w:val="22"/>
          <w:szCs w:val="22"/>
        </w:rPr>
        <w:t>Diagnostic tools for AD often involve invasive procedures, which can limit patient acceptance and clinical feasibility. CSF biomarkers, such as the Aβ42/40 ratio, provide high diagnostic accuracy (sensitivity 0.94, specificity 0.82) but require lumbar punctures, a procedure that is both uncomfortable and associated with risks such as headaches and infections</w:t>
      </w:r>
      <w:r w:rsidR="008021A3">
        <w:rPr>
          <w:rFonts w:ascii="Arial" w:hAnsi="Arial" w:cs="Arial"/>
          <w:sz w:val="22"/>
          <w:szCs w:val="22"/>
        </w:rPr>
        <w:t>.</w:t>
      </w:r>
      <w:r w:rsidR="006673FF">
        <w:rPr>
          <w:rFonts w:ascii="Arial" w:hAnsi="Arial" w:cs="Arial"/>
          <w:sz w:val="22"/>
          <w:szCs w:val="22"/>
        </w:rPr>
        <w:fldChar w:fldCharType="begin"/>
      </w:r>
      <w:r w:rsidR="00025355">
        <w:rPr>
          <w:rFonts w:ascii="Arial" w:hAnsi="Arial" w:cs="Arial"/>
          <w:sz w:val="22"/>
          <w:szCs w:val="22"/>
        </w:rPr>
        <w:instrText xml:space="preserve"> ADDIN ZOTERO_ITEM CSL_CITATION {"citationID":"OkKu9Mzw","properties":{"formattedCitation":"\\super 30\\uc0\\u8211{}32\\nosupersub{}","plainCitation":"30–32","noteIndex":0},"citationItems":[{"id":"7XVybpWP/GxY3UDA6","uris":["http://zotero.org/users/14808074/items/DTFA74ME"],"itemData":{"id":1002,"type":"article-journal","abstract":"Biomarker testing is recommended for the accurate and timely diagnosis of Alzheimer's disease (AD). Using illustrative case narratives we consider how cerebrospinal fluid (CSF) biomarker tests may be used in different presentations of cognitive impairment to facilitate timely and differential diagnosis, improving diagnostic accuracy, providing prognostic information, and guiding personalized management in diverse scenarios. Evidence shows that (1) CSF ratios are superior to amyloid beta (Aβ)1-42 alone; (2) concordance of CSF ratios to amyloid positron emission tomography (PET) is better than Aβ1-42 alone; and (3) phosphorylated tau (p-tau)/Aβ1-42 ratio is superior to p-tau alone. CSF biomarkers are recommended for the exclusion of AD as the underlying cause of cognitive impairment, diagnosis of AD at an early stage, differential diagnosis of AD in individuals presenting with other neuropsychiatric symptoms, accurate diagnosis of AD in an atypical presentation, and for clinical trial enrichment. Highlights Cerebrospinal fluid (CSF) Alzheimer's disease (AD) biomarker testing may be underused outside specialist centers. CSF biomarkers improve diagnostic accuracy, guiding personalized management of AD. CSF ratios (amyloid beta [Aβ]1-42/Aβ1-40 and phosphorylated tau/Aβ1-42) perform better than single markers. CSF ratios produce fewer false-negative and false-positive results than individual markers. CSF biomarkers should be included in diagnostic work-up of AD and mild cognitive impairment due to AD.","container-title":"Alzheimer's &amp; Dementia: Diagnosis, Assessment &amp; Disease Monitoring","DOI":"10.1002/dad2.12314","ISSN":"2352-8729","issue":"1","language":"en","license":"© 2022 The Authors. Alzheimer's &amp; Dementia: Diagnosis, Assessment &amp; Disease Monitoring published by Wiley Periodicals, LLC on behalf of Alzheimer's Association","note":"_eprint: https://onlinelibrary.wiley.com/doi/pdf/10.1002/dad2.12314","page":"e12314","source":"Wiley Online Library","title":"Clinical application of CSF biomarkers for Alzheimer's disease: From rationale to ratios","title-short":"Clinical application of CSF biomarkers for Alzheimer's disease","volume":"14","author":[{"family":"Bouwman","given":"Femke H."},{"family":"Frisoni","given":"Giovanni B."},{"family":"Johnson","given":"Sterling C."},{"family":"Chen","given":"Xiaochun"},{"family":"Engelborghs","given":"Sebastiaan"},{"family":"Ikeuchi","given":"Takeshi"},{"family":"Paquet","given":"Claire"},{"family":"Ritchie","given":"Craig"},{"family":"Bozeat","given":"Sasha"},{"family":"Quevenco","given":"Frances-Catherine"},{"family":"Teunissen","given":"Charlotte"}],"issued":{"date-parts":[["2022"]]}}},{"id":"7XVybpWP/n5Qj5bkw","uris":["http://zotero.org/users/14808074/items/52ZPFG8B"],"itemData":{"id":1005,"type":"article-journal","abstract":"BACKGROUND: Alzheimer's disease (AD) biomarkers reflect key elements of pathophysiology and improve the diagnostic process. However, their use in routine clinical practice is still limited.\nOBJECTIVE: We aimed to assess neurologists' barriers and enablers to early AD diagnosis using core AD biomarkers.\nMETHODS: We conducted an online study in collaboration with the Spanish Society of Neurology. Neurologists answered a survey exploring their attitudes towards AD diagnosis using biomarkers in mild cognitive impairment (MCI) or mild AD dementia. Multivariate logistic regression analyses were conducted to determine the association between neurologists' characteristics and diagnostic attitudes.\nRESULTS: We included 188 neurologists with a mean age (SD) of 40.6 (11.3) years, 52.7% male. Most participants had access to AD biomarkers, mainly in cerebrospinal fluid (CSF) (89.9%,#x0025;, n = 169). The majority of participants (95.2%,#x0025;, n = 179) considered CSF biomarkers useful for an etiological diagnosis in MCI. However, 85.6% of respondents (n = 161) used them in less than 60% of their MCI patients in routine clinical practice. Facilitating patients and their families to plan for the future was the most frequent enabler for the use of biomarkers. Short consultation time and practicalities associated with the programming of a lumbar puncture were the most common barriers. A younger neurologist age (p = 0.010) and a higher number of patients managed weekly (p = 0.036) were positively associated with the use of biomarkers.\nCONCLUSION: Most neurologists had a favorable attitude to the use of biomarkers, especially in MCI patients. Improvements in resources and consultation time may increase their use in routine clinical practice.","container-title":"Journal of Alzheimer's disease: JAD","DOI":"10.3233/JAD-221160","ISSN":"1875-8908","issue":"1","journalAbbreviation":"J Alzheimers Dis","language":"eng","note":"PMID: 36970902\nPMCID: PMC10200215","page":"275-282","source":"PubMed","title":"Attitudes of Neurologists Toward the Use of Biomarkers in the Diagnosis of Early Alzheimer's Disease","volume":"93","author":[{"family":"Fortea","given":"Juan"},{"family":"García-Arcelay","given":"Elena"},{"family":"Terrancle","given":"Ángeles"},{"family":"Gálvez","given":"Blanca"},{"family":"Díez-Carreras","given":"Verónica"},{"family":"Rebollo","given":"Pablo"},{"family":"Maurino","given":"Jorge"},{"family":"Garcia-Ribas","given":"Guillermo"}],"issued":{"date-parts":[["2023"]]}}},{"id":"7XVybpWP/1hCmGAxJ","uris":["http://zotero.org/users/14808074/items/TXZEGWPP"],"itemData":{"id":1059,"type":"article-journal","abstract":"Background:\nThe Australian Imaging, Biomarkers and Lifestyle (AIBL) Study commenced in 2006 as a prospective study of 1,112 individuals (768 cognitively normal (CN), 133 with mild cognitive impairment (MCI), and 211 with Alzheimer’s disease dementia (AD)) as an ‘Inception cohort’ who underwent detailed ssessments every 18 months. Over the past decade, an additional 1247 subjects have been added as an ‘Enrichment cohort’ (as of 10 April 2019).\n\nObjective:\nHere we provide an overview of these Inception and Enrichment cohorts of more than 8,500 person-years of investigation.\n\nMethods:\nParticipants underwent reassessment every 18 months including comprehensive cognitive testing, neuroimaging (magnetic resonance imaging, MRI; positron emission tomography, PET), biofluid biomarkers and lifestyle evaluations.\n\nResults:\nAIBL has made major contributions to the understanding of the natural history of AD, with cognitive and biological definitions of its three major stages: preclinical, prodromal and clinical. Early deployment of Aβ-amyloid and tau molecular PET imaging and the development of more sensitive and specific blood tests have facilitated the assessment of genetic and environmental factors which affect age at onset and rates of progression.\n\nConclusion:\nThis fifteen-year study provides a large database of highly characterized individuals with longitudinal cognitive, imaging and lifestyle data and biofluid collections, to aid in the development of interventions to delay onset, prevent or treat AD. Harmonization with similar large longitudinal cohort studies is underway to further these aims.","container-title":"Journal of Alzheimer's Disease Reports","DOI":"10.3233/ADR-210005","ISSN":"2542-4823","issue":"1","journalAbbreviation":"J Alzheimers Dis Rep","note":"PMID: 34368630\nPMCID: PMC8293663","page":"443-468","source":"PubMed Central","title":"Fifteen Years of the Australian Imaging, Biomarkers and Lifestyle (AIBL) Study: Progress and Observations from 2,359 Older Adults Spanning the Spectrum from Cognitive Normality to Alzheimer’s Disease","title-short":"Fifteen Years of the Australian Imaging, Biomarkers and Lifestyle (AIBL) Study","volume":"5","author":[{"family":"Fowler","given":"Christopher"},{"family":"Rainey-Smith","given":"Stephanie R."},{"family":"Bird","given":"Sabine"},{"family":"Bomke","given":"Julia"},{"family":"Bourgeat","given":"Pierrick"},{"family":"Brown","given":"Belinda M."},{"family":"Burnham","given":"Samantha C."},{"family":"Bush","given":"Ashley I."},{"family":"Chadunow","given":"Carolyn"},{"family":"Collins","given":"Steven"},{"family":"Doecke","given":"James"},{"family":"Doré","given":"Vincent"},{"family":"Ellis","given":"Kathryn A."},{"family":"Evered","given":"Lis"},{"family":"Fazlollahi","given":"Amir"},{"family":"Fripp","given":"Jurgen"},{"family":"Gardener","given":"Samantha L."},{"family":"Gibson","given":"Simon"},{"family":"Grenfell","given":"Robert"},{"family":"Harrison","given":"Elise"},{"family":"Head","given":"Richard"},{"family":"Jin","given":"Liang"},{"family":"Kamer","given":"Adrian"},{"family":"Lamb","given":"Fiona"},{"family":"Lautenschlager","given":"Nicola T."},{"family":"Laws","given":"Simon M."},{"family":"Li","given":"Qiao-Xin"},{"family":"Lim","given":"Lucy"},{"family":"Lim","given":"Yen Ying"},{"family":"Louey","given":"Andrea"},{"family":"Macaulay","given":"S. Lance"},{"family":"Mackintosh","given":"Lucy"},{"family":"Martins","given":"Ralph N."},{"family":"Maruff","given":"Paul"},{"family":"Masters","given":"Colin L."},{"family":"McBride","given":"Simon"},{"family":"Milicic","given":"Lidija"},{"family":"Peretti","given":"Madeline"},{"family":"Pertile","given":"Kelly"},{"family":"Porter","given":"Tenielle"},{"family":"Radler","given":"Morgan"},{"family":"Rembach","given":"Alan"},{"family":"Robertson","given":"Joanne"},{"family":"Rodrigues","given":"Mark"},{"family":"Rowe","given":"Christopher C."},{"family":"Rumble","given":"Rebecca"},{"family":"Salvado","given":"Olivier"},{"family":"Savage","given":"Greg"},{"family":"Silbert","given":"Brendan"},{"family":"Soh","given":"Magdalene"},{"family":"Sohrabi","given":"Hamid R."},{"family":"Taddei","given":"Kevin"},{"family":"Taddei","given":"Tania"},{"family":"Thai","given":"Christine"},{"family":"Trounson","given":"Brett"},{"family":"Tyrrell","given":"Regan"},{"family":"Vacher","given":"Michael"},{"family":"Varghese","given":"Shiji"},{"family":"Villemagne","given":"Victor L."},{"family":"Weinborn","given":"Michael"},{"family":"Woodward","given":"Michael"},{"family":"Xia","given":"Ying"},{"family":"Ames","given":"David"}]}}],"schema":"https://github.com/citation-style-language/schema/raw/master/csl-citation.json"} </w:instrText>
      </w:r>
      <w:r w:rsidR="006673FF">
        <w:rPr>
          <w:rFonts w:ascii="Arial" w:hAnsi="Arial" w:cs="Arial"/>
          <w:sz w:val="22"/>
          <w:szCs w:val="22"/>
        </w:rPr>
        <w:fldChar w:fldCharType="separate"/>
      </w:r>
      <w:r w:rsidRPr="00025355" w:rsidR="00025355">
        <w:rPr>
          <w:rFonts w:ascii="Arial" w:hAnsi="Arial" w:cs="Arial"/>
          <w:sz w:val="22"/>
          <w:vertAlign w:val="superscript"/>
        </w:rPr>
        <w:t>30–32</w:t>
      </w:r>
      <w:r w:rsidR="006673FF">
        <w:rPr>
          <w:rFonts w:ascii="Arial" w:hAnsi="Arial" w:cs="Arial"/>
          <w:sz w:val="22"/>
          <w:szCs w:val="22"/>
        </w:rPr>
        <w:fldChar w:fldCharType="end"/>
      </w:r>
      <w:r w:rsidRPr="00DD3983" w:rsidR="00596152">
        <w:rPr>
          <w:rFonts w:ascii="Arial" w:hAnsi="Arial" w:cs="Arial"/>
          <w:sz w:val="22"/>
          <w:szCs w:val="22"/>
        </w:rPr>
        <w:t xml:space="preserve"> </w:t>
      </w:r>
      <w:r w:rsidRPr="00DD3983" w:rsidR="00D7663B">
        <w:rPr>
          <w:rFonts w:ascii="Arial" w:hAnsi="Arial" w:cs="Arial"/>
          <w:sz w:val="22"/>
          <w:szCs w:val="22"/>
        </w:rPr>
        <w:t>Similarly, neuroimaging techniques, including PET and MRI, pose challenges related to patient discomfort. PET scans expose individuals to radiation, although MRI requires prolonged scanning times and may be unsuitable for patients with claustrophobia or metal implants</w:t>
      </w:r>
      <w:r w:rsidR="008021A3">
        <w:rPr>
          <w:rFonts w:ascii="Arial" w:hAnsi="Arial" w:cs="Arial"/>
          <w:sz w:val="22"/>
          <w:szCs w:val="22"/>
        </w:rPr>
        <w:t>.</w:t>
      </w:r>
      <w:r w:rsidRPr="00DD3983" w:rsidR="00451435">
        <w:rPr>
          <w:rFonts w:ascii="Arial" w:hAnsi="Arial" w:cs="Arial"/>
          <w:sz w:val="22"/>
          <w:szCs w:val="22"/>
        </w:rPr>
        <w:fldChar w:fldCharType="begin"/>
      </w:r>
      <w:r w:rsidR="00025355">
        <w:rPr>
          <w:rFonts w:ascii="Arial" w:hAnsi="Arial" w:cs="Arial"/>
          <w:sz w:val="22"/>
          <w:szCs w:val="22"/>
        </w:rPr>
        <w:instrText xml:space="preserve"> ADDIN ZOTERO_ITEM CSL_CITATION {"citationID":"rdhOezPf","properties":{"formattedCitation":"\\super 33,34\\nosupersub{}","plainCitation":"33,34","noteIndex":0},"citationItems":[{"id":"7XVybpWP/CXL73vw0","uris":["http://zotero.org/users/14808074/items/7XT8RE24"],"itemData":{"id":962,"type":"webpage","title":"Neuroimaging modalities in the detection of Alzheimer's disease-associated biomarkers | Psychoradiology | Oxford Academic","URL":"https://academic.oup.com/psyrad/article/doi/10.1093/psyrad/kkad009/7205306","accessed":{"date-parts":[["2025",3,12]]}}},{"id":"7XVybpWP/tUhQZ36H","uris":["http://zotero.org/users/14808074/items/I5UDKSQZ"],"itemData":{"id":949,"type":"article-journal","abstract":"PET based tools can improve the early diagnosis of Alzheimer's disease (AD) and differential diagnosis of dementia. The importance of identifying individuals at risk of developing dementia among people with subjective cognitive complaints or mild cognitive impairment has clinical, social, and therapeutic implications. Within the two major classes of AD biomarkers currently identified, that is, markers of pathology and neurodegeneration, amyloid- and FDG-PET imaging represent decisive tools for their measurement. As a consequence, the PET tools have been recognized to be of crucial value in the recent guidelines for the early diagnosis of AD and other dementia conditions. The references based recommendations, however, include large PET imaging literature based on visual methods that greatly reduces sensitivity and specificity and lacks a clear cut-off between normal and pathological findings. PET imaging can be assessed using parametric or voxel-wise analyses by comparing the subject's scan with a normative data set, significantly increasing the diagnostic accuracy. This paper is a survey of the relevant literature on FDG and amyloid-PET imaging aimed at providing the value of quantification for the early and differential diagnosis of AD. This allowed a meta-analysis and GRADE analysis revealing high values for PET imaging that might be useful in considering recommendations.","container-title":"BioMed Research International","DOI":"10.1155/2014/785039","ISSN":"2314-6141","journalAbbreviation":"Biomed Res Int","language":"eng","note":"PMID: 24772437\nPMCID: PMC3977528","page":"785039","source":"PubMed","title":"A survey of FDG- and amyloid-PET imaging in dementia and GRADE analysis","volume":"2014","author":[{"family":"Perani","given":"Daniela"},{"family":"Schillaci","given":"Orazio"},{"family":"Padovani","given":"Alessandro"},{"family":"Nobili","given":"Flavio Mariano"},{"family":"Iaccarino","given":"Leonardo"},{"family":"Della Rosa","given":"Pasquale Anthony"},{"family":"Frisoni","given":"Giovanni"},{"family":"Caltagirone","given":"Carlo"}],"issued":{"date-parts":[["2014"]]}}}],"schema":"https://github.com/citation-style-language/schema/raw/master/csl-citation.json"} </w:instrText>
      </w:r>
      <w:r w:rsidRPr="00DD3983" w:rsidR="00451435">
        <w:rPr>
          <w:rFonts w:ascii="Arial" w:hAnsi="Arial" w:cs="Arial"/>
          <w:sz w:val="22"/>
          <w:szCs w:val="22"/>
        </w:rPr>
        <w:fldChar w:fldCharType="separate"/>
      </w:r>
      <w:r w:rsidRPr="00025355" w:rsidR="00025355">
        <w:rPr>
          <w:rFonts w:ascii="Arial" w:hAnsi="Arial" w:cs="Arial"/>
          <w:sz w:val="22"/>
          <w:vertAlign w:val="superscript"/>
        </w:rPr>
        <w:t>33,34</w:t>
      </w:r>
      <w:r w:rsidRPr="00DD3983" w:rsidR="00451435">
        <w:rPr>
          <w:rFonts w:ascii="Arial" w:hAnsi="Arial" w:cs="Arial"/>
          <w:sz w:val="22"/>
          <w:szCs w:val="22"/>
        </w:rPr>
        <w:fldChar w:fldCharType="end"/>
      </w:r>
    </w:p>
    <w:p w:rsidR="001A37D3" w:rsidP="00680402" w:rsidRDefault="001A37D3" w14:paraId="536907BE" w14:textId="77777777">
      <w:pPr>
        <w:pStyle w:val="Heading3"/>
        <w:spacing w:before="0" w:after="0"/>
      </w:pPr>
    </w:p>
    <w:p w:rsidRPr="00722818" w:rsidR="00663574" w:rsidP="00680402" w:rsidRDefault="00BA2C39" w14:paraId="3DD7E6C3" w14:textId="20540C4F">
      <w:pPr>
        <w:pStyle w:val="Heading3"/>
        <w:spacing w:before="0" w:after="0"/>
      </w:pPr>
      <w:r w:rsidRPr="00722818">
        <w:t xml:space="preserve">Inadequate </w:t>
      </w:r>
      <w:r w:rsidRPr="00722818" w:rsidR="00663574">
        <w:t>Generalizability</w:t>
      </w:r>
    </w:p>
    <w:p w:rsidR="00514F0F" w:rsidP="00F6306A" w:rsidRDefault="00912D58" w14:paraId="33334E44" w14:textId="0289F7F2">
      <w:pPr>
        <w:pStyle w:val="NormalWeb"/>
        <w:spacing w:before="0" w:beforeAutospacing="0" w:after="0" w:afterAutospacing="0"/>
        <w:jc w:val="both"/>
        <w:rPr>
          <w:rFonts w:ascii="Arial" w:hAnsi="Arial" w:cs="Arial"/>
          <w:sz w:val="22"/>
          <w:szCs w:val="22"/>
        </w:rPr>
      </w:pPr>
      <w:r w:rsidRPr="00DD3983">
        <w:rPr>
          <w:rFonts w:ascii="Arial" w:hAnsi="Arial" w:cs="Arial"/>
          <w:sz w:val="22"/>
          <w:szCs w:val="22"/>
        </w:rPr>
        <w:t>Another major limitation of current biomedical diagnostic tools is their lack of generalizability. Many studies validating these tools rely on small, homogenous cohorts, making it difficult to apply findings to diverse populations</w:t>
      </w:r>
      <w:r w:rsidR="008021A3">
        <w:rPr>
          <w:rFonts w:ascii="Arial" w:hAnsi="Arial" w:cs="Arial"/>
          <w:sz w:val="22"/>
          <w:szCs w:val="22"/>
        </w:rPr>
        <w:t>.</w:t>
      </w:r>
      <w:r w:rsidRPr="00DD3983" w:rsidR="00ED62DF">
        <w:rPr>
          <w:rFonts w:ascii="Arial" w:hAnsi="Arial" w:cs="Arial"/>
          <w:sz w:val="22"/>
          <w:szCs w:val="22"/>
        </w:rPr>
        <w:fldChar w:fldCharType="begin"/>
      </w:r>
      <w:r w:rsidR="00025355">
        <w:rPr>
          <w:rFonts w:ascii="Arial" w:hAnsi="Arial" w:cs="Arial"/>
          <w:sz w:val="22"/>
          <w:szCs w:val="22"/>
        </w:rPr>
        <w:instrText xml:space="preserve"> ADDIN ZOTERO_ITEM CSL_CITATION {"citationID":"sU75ffAx","properties":{"formattedCitation":"\\super 35\\uc0\\u8211{}38\\nosupersub{}","plainCitation":"35–38","noteIndex":0},"citationItems":[{"id":"7XVybpWP/5MDI6ICR","uris":["http://zotero.org/users/14808074/items/ZKQLJ28A"],"itemData":{"id":984,"type":"webpage","title":"Diagnostic Accuracy of a Plasma Phosphorylated Tau 217 Immunoassay for Alzheimer Disease Pathology | Dementia and Cognitive Impairment | JAMA Neurology | JAMA Network","URL":"https://jamanetwork.com/journals/jamaneurology/fullarticle/2813751","accessed":{"date-parts":[["2025",3,12]]}}},{"id":"7XVybpWP/klSO9zkZ","uris":["http://zotero.org/users/14808074/items/MLFTZZM4"],"itemData":{"id":986,"type":"article-journal","abstract":"BACKGROUND: The purpose of this study was to assess the impact of vendor-provided atlas-based MRAC on FDG PET/MR for the evaluation of Alzheimer's disease (AD) by using simulated images.\nMETHODS: We recruited 47 patients, from two institutions, who underwent PET/CT and PET/MR (GE SIGNA) examination for oncological staging. From the PET raw data acquired on PET/MR, two FDG-PET series were generated, using vendor-provided MRAC (atlas-based) and CTAC. The following simulation steps were performed in MNI space: After spatial normalization and smoothing of the PET datasets, we calculated the error map for each patient, PETMRAC/PETCTAC. We multiplied each of these 47 error maps with each of the 203 Alzheimer's Disease Neuroimaging Initiative (ADNI) cases after the identical normalization and smoothing. This resulted in 203*47 = 9541 datasets. To evaluate the probability of AD in each resulting image, a cumulative t-value was calculated automatically using commercially-available software (PMOD PALZ) which has been used in multiple large cohort studies. The diagnostic accuracy for the discrimination of AD and predicting progression from mild cognitive impairment (MCI) to AD were evaluated in simulated images compared with ADNI original images.\nRESULTS: The accuracy and specificity for the discrimination of AD-patients from normal controls were not substantially impaired, but sensitivity was slightly impaired in 5 out of 47 datasets (original vs. error; 83.2% [CI 75.0%-89.0%], 83.3% [CI 74.2%-89.8%] and 83.1% [CI 75.6%-88.3%] vs. 82.7% [range 80.4-85.0%], 78.5% [range 72.9-83.3%,] and 86.1% [range 81.4-89.8%]). The accuracy, sensitivity and specificity for predicting progression from MCI to AD during 2-year follow-up was not impaired (original vs. error; 62.5% [CI 53.3%-69.3%], 78.8% [CI 65.4%-88.6%] and 54.0% [CI 47.0%-69.1%] vs. 64.8% [range 61.5-66.7%], 75.7% [range 66.7-81.8%,] and 59.0% [range 50.8-63.5%]). The worst 3 error maps show a tendency towards underestimation of PET scores.\nCONCLUSION: FDG-PET/MR based on atlas-based MR attenuation correction showed similar diagnostic accuracy to the CT-based method for the diagnosis of AD and the prediction of progression of MCI to AD using commercially-available software, although with a minor reduction in sensitivity.","container-title":"PloS One","DOI":"10.1371/journal.pone.0233886","ISSN":"1932-6203","issue":"6","journalAbbreviation":"PLoS One","language":"eng","note":"PMID: 32492074\nPMCID: PMC7269241","page":"e0233886","source":"PubMed","title":"The impact of atlas-based MR attenuation correction on the diagnosis of FDG-PET/MR for Alzheimer's diseases- A simulation study combining multi-center data and ADNI-data","volume":"15","author":[{"family":"Sekine","given":"Tetsuro"},{"family":"Buck","given":"Alfred"},{"family":"Delso","given":"Gaspar"},{"family":"Kemp","given":"Bradley"},{"family":"Ter Voert","given":"Edwin E. G. W."},{"family":"Huellner","given":"Martin"},{"family":"Veit-Haibach","given":"Patrick"},{"family":"Kaushik","given":"Sandeep"},{"family":"Wiesinger","given":"Florian"},{"family":"Warnock","given":"Geoffrey"},{"literal":"Alzheimer’s Disease Neuroimaging Initiative"}],"issued":{"date-parts":[["2020"]]}}},{"id":"7XVybpWP/VdMv1SKI","uris":["http://zotero.org/users/14808074/items/432YB8QD"],"itemData":{"id":978,"type":"article-journal","abstract":"OBJECTIVE: There is still an urgent need for supportive minimally invasive and cost-effective biomarkers for early diagnosis of Alzheimer's disease (AD). Previous work in our lab has identified Kallikrein-8 (KLK8) as a potential candidate since it shows an excessive increase in human brain in preclinical disease stages. The aim of this study was to evaluate the diagnostic performance of cerebrospinal fluid (CSF) and blood KLK8 for AD and mild cognitive impairment (MCI) due to AD.\nMETHODS: In this multi-centre trans-sectional study, clinical and laboratory data as well as CSF and/or blood serum samples of 237 participants, including 98 patients with mild AD, 21 with MCI due to AD and 118 controls were collected. CSF and/or serum KLK8 levels were analysed by ELISA. The diagnostic accuracy of KLK8 in CSF and blood was determined using receiver operating characteristic (ROC) analyses and compared with that of CSF core biomarkers Aβ42, P-tau and T-tau.\nRESULTS: The diagnostic accuracy of CSF KLK8 was as good as that of core CSF biomarkers for AD (area under the curve (AUC)=0.89) and in case of MCI (AUC=0.97) even superior to CSF Aβ42. Blood KLK8 was a similarly strong discriminator for MCI (AUC=0.94) but slightly weaker for AD (AUC=0.83).\nCONCLUSIONS: This is the first study to demonstrate the potential clinical utility of blood and CSF KLK8 as a biomarker for incipient AD. Future prospective validation studies are warranted.","container-title":"Journal of Neurology, Neurosurgery, and Psychiatry","DOI":"10.1136/jnnp-2019-321073","ISSN":"1468-330X","issue":"1","journalAbbreviation":"J Neurol Neurosurg Psychiatry","language":"eng","note":"PMID: 31371645\nPMCID: PMC6952834","page":"40-48","source":"PubMed","title":"CSF and blood Kallikrein-8: a promising early biomarker for Alzheimer's disease","title-short":"CSF and blood Kallikrein-8","volume":"91","author":[{"family":"Teuber-Hanselmann","given":"Sarah"},{"family":"Rekowski","given":"Jan"},{"family":"Vogelgsang","given":"Jonathan"},{"family":"Arnim","given":"Christine","non-dropping-particle":"von"},{"family":"Reetz","given":"Kathrin"},{"family":"Stang","given":"Andreas"},{"family":"Jöckel","given":"Karl-Heinz"},{"family":"Wiltfang","given":"Jens"},{"family":"Esselmann","given":"Herrmann"},{"family":"Otto","given":"Markus"},{"family":"Tumani","given":"Hayrettin"},{"family":"Herring","given":"Arne"},{"family":"Keyvani","given":"Kathy"}],"issued":{"date-parts":[["2020",1]]}}},{"id":"7XVybpWP/RHWeRe43","uris":["http://zotero.org/users/14808074/items/VPGGRQR3"],"itemData":{"id":981,"type":"article-journal","abstract":"BACKGROUND: Early biomarkers of prodromal Alzheimer's disease (AD) are critical both to initiate interventions and to choose participants for clinical trials. Odor threshold, odor identification and odor familiarity are impaired in AD.\nMETHODS: We investigated the relative abilities of standard screening (MMSE) and olfactory measures to predict transitions from cognitively normal (CN) to mild cognitive impairment (MCI), from CN to AD, and MCI to AD. The archival sample of 497, from the UCSD ADRC, included participants who were CN, MCI, AD and converters to MCI or AD. Apoe ε4 status, a genetic risk factor, was available for 256 participants, 132 were ε4 carriers. A receiver operating characteristic curve (ROC) curve plots the trade-off between sensitivity and specificity. Area under the ROC curve (AUC) was used to determine diagnostic accuracy.\nRESULTS: Different measures were better predictors at specific stages of disease risk; e.g., odor familiarity, odor identification and the combination showed higher predictive value for converting from MCI to AD in ε4 carriers than the MMSE. Combining odor familiarity and odor identification produced an AUC of 1.0 in ε4 carriers, MMSE alone was 0.58.\nCONCLUSIONS: Olfactory biomarkers show real promise as non-invasive indicators of prodromal AD. The results support the value of combining olfactory measures in assessment of risk for conversion to MCI and to AD.","container-title":"Brain Sciences","DOI":"10.3390/brainsci11111391","ISSN":"2076-3425","issue":"11","journalAbbreviation":"Brain Sci","language":"eng","note":"PMID: 34827390\nPMCID: PMC8615615","page":"1391","source":"PubMed","title":"Olfactory Measures as Predictors of Conversion to Mild Cognitive Impairment and Alzheimer's Disease","volume":"11","author":[{"family":"Wheeler","given":"Paul Loyd"},{"family":"Murphy","given":"Claire"}],"issued":{"date-parts":[["2021",10,23]]}}}],"schema":"https://github.com/citation-style-language/schema/raw/master/csl-citation.json"} </w:instrText>
      </w:r>
      <w:r w:rsidRPr="00DD3983" w:rsidR="00ED62DF">
        <w:rPr>
          <w:rFonts w:ascii="Arial" w:hAnsi="Arial" w:cs="Arial"/>
          <w:sz w:val="22"/>
          <w:szCs w:val="22"/>
        </w:rPr>
        <w:fldChar w:fldCharType="separate"/>
      </w:r>
      <w:r w:rsidRPr="00025355" w:rsidR="00025355">
        <w:rPr>
          <w:rFonts w:ascii="Arial" w:hAnsi="Arial" w:cs="Arial"/>
          <w:sz w:val="22"/>
          <w:vertAlign w:val="superscript"/>
        </w:rPr>
        <w:t>35–38</w:t>
      </w:r>
      <w:r w:rsidRPr="00DD3983" w:rsidR="00ED62DF">
        <w:rPr>
          <w:rFonts w:ascii="Arial" w:hAnsi="Arial" w:cs="Arial"/>
          <w:sz w:val="22"/>
          <w:szCs w:val="22"/>
        </w:rPr>
        <w:fldChar w:fldCharType="end"/>
      </w:r>
      <w:r w:rsidRPr="00DD3983">
        <w:rPr>
          <w:rFonts w:ascii="Arial" w:hAnsi="Arial" w:cs="Arial"/>
          <w:sz w:val="22"/>
          <w:szCs w:val="22"/>
        </w:rPr>
        <w:t xml:space="preserve"> </w:t>
      </w:r>
      <w:r w:rsidRPr="00CE3946" w:rsidR="00CE3946">
        <w:rPr>
          <w:rFonts w:ascii="Arial" w:hAnsi="Arial" w:cs="Arial"/>
          <w:sz w:val="22"/>
          <w:szCs w:val="22"/>
        </w:rPr>
        <w:t>Notably, 77% (n=</w:t>
      </w:r>
      <w:r w:rsidRPr="00CE3946" w:rsidR="004619C5">
        <w:rPr>
          <w:rFonts w:ascii="Arial" w:hAnsi="Arial" w:cs="Arial"/>
          <w:sz w:val="22"/>
          <w:szCs w:val="22"/>
        </w:rPr>
        <w:t>73</w:t>
      </w:r>
      <w:r w:rsidRPr="00CE3946" w:rsidR="00CE3946">
        <w:rPr>
          <w:rFonts w:ascii="Arial" w:hAnsi="Arial" w:cs="Arial"/>
          <w:sz w:val="22"/>
          <w:szCs w:val="22"/>
        </w:rPr>
        <w:t>)</w:t>
      </w:r>
      <w:r w:rsidRPr="00CE3946" w:rsidR="004619C5">
        <w:rPr>
          <w:rFonts w:ascii="Arial" w:hAnsi="Arial" w:cs="Arial"/>
          <w:sz w:val="22"/>
          <w:szCs w:val="22"/>
        </w:rPr>
        <w:t xml:space="preserve"> articles</w:t>
      </w:r>
      <w:r w:rsidRPr="00CE3946" w:rsidR="00A0085B">
        <w:rPr>
          <w:rFonts w:ascii="Arial" w:hAnsi="Arial" w:cs="Arial"/>
          <w:sz w:val="22"/>
          <w:szCs w:val="22"/>
        </w:rPr>
        <w:t xml:space="preserve"> of reviewed biomedical studies show that this issue persists</w:t>
      </w:r>
      <w:r w:rsidRPr="00CE3946" w:rsidR="0077591F">
        <w:rPr>
          <w:rFonts w:ascii="Arial" w:hAnsi="Arial" w:cs="Arial"/>
          <w:sz w:val="22"/>
          <w:szCs w:val="22"/>
        </w:rPr>
        <w:t>.</w:t>
      </w:r>
      <w:r w:rsidRPr="00DD3983" w:rsidR="0077591F">
        <w:rPr>
          <w:rFonts w:ascii="Arial" w:hAnsi="Arial" w:cs="Arial"/>
          <w:sz w:val="22"/>
          <w:szCs w:val="22"/>
        </w:rPr>
        <w:t xml:space="preserve"> </w:t>
      </w:r>
      <w:r w:rsidRPr="00DD3983" w:rsidR="00907C68">
        <w:rPr>
          <w:rFonts w:ascii="Arial" w:hAnsi="Arial" w:cs="Arial"/>
          <w:sz w:val="22"/>
          <w:szCs w:val="22"/>
        </w:rPr>
        <w:t xml:space="preserve">Novel markers like </w:t>
      </w:r>
      <w:r w:rsidRPr="00DD3983" w:rsidR="00907C68">
        <w:rPr>
          <w:rFonts w:ascii="Arial" w:hAnsi="Arial" w:cs="Arial"/>
          <w:color w:val="000000" w:themeColor="text1"/>
          <w:sz w:val="22"/>
          <w:szCs w:val="22"/>
        </w:rPr>
        <w:t>plasma pTau217 and TNAP show promise</w:t>
      </w:r>
      <w:r w:rsidRPr="00DD3983" w:rsidR="00F321AC">
        <w:rPr>
          <w:rFonts w:ascii="Arial" w:hAnsi="Arial" w:cs="Arial"/>
          <w:sz w:val="22"/>
          <w:szCs w:val="22"/>
        </w:rPr>
        <w:t>, while showing promise, are affected by demographic factors such as age, sex, and comorbid conditions like chronic kidney disease, which can alter biomarker levels and affect diagnostic accuracy</w:t>
      </w:r>
      <w:r w:rsidR="008021A3">
        <w:rPr>
          <w:rFonts w:ascii="Arial" w:hAnsi="Arial" w:cs="Arial"/>
          <w:sz w:val="22"/>
          <w:szCs w:val="22"/>
        </w:rPr>
        <w:t>.</w:t>
      </w:r>
      <w:r w:rsidRPr="00DD3983" w:rsidR="009D1269">
        <w:rPr>
          <w:rFonts w:ascii="Arial" w:hAnsi="Arial" w:cs="Arial"/>
          <w:sz w:val="22"/>
          <w:szCs w:val="22"/>
        </w:rPr>
        <w:fldChar w:fldCharType="begin"/>
      </w:r>
      <w:r w:rsidR="00025355">
        <w:rPr>
          <w:rFonts w:ascii="Arial" w:hAnsi="Arial" w:cs="Arial"/>
          <w:sz w:val="22"/>
          <w:szCs w:val="22"/>
        </w:rPr>
        <w:instrText xml:space="preserve"> ADDIN ZOTERO_ITEM CSL_CITATION {"citationID":"M7tHiwR1","properties":{"formattedCitation":"\\super 35,39\\nosupersub{}","plainCitation":"35,39","noteIndex":0},"citationItems":[{"id":"7XVybpWP/y98r7ZfO","uris":["http://zotero.org/users/14808074/items/732AYDQL"],"itemData":{"id":1018,"type":"article-journal","abstract":"Over the last few years, intense research efforts have been made to anticipate or improve the diagnosis of Alzheimer's disease by detecting blood biomarkers. However, the most promising blood biomarkers identified to date have some limitations, most of them related to the techniques required for their detection. Hence, new blood biomarkers should be identified to improve the diagnosis of AD, better discriminate between AD and mild cognitive impairment (MCI) and identify cognitively unimpaired (CU) older individuals at risk for progression to AD. Our previous studies demonstrated that both the purinergic receptor P2X7 and the tissue-nonspecific alkaline phosphatase ectoenzyme (TNAP) are upregulated in the brains of AD patients. Since both proteins are also present in plasma, we investigated whether plasma P2X7R and TNAP are altered in MCI and AD patients and, if so, their potential role as AD biomarkers. We found that AD but not MCI patients present increased plasma P2X7R levels. Nevertheless, TNAP plasma activity was increased in MCI patients and decreased in the AD group. ROC curve analysis indicated that measuring both parameters has a reasonable discriminating capability to diagnose MCI and AD conditions. In addition to confirming that individuals progressing to MCI have increased TNAP activity in plasma, longitudinal studies also revealed that CU individuals have lower plasma TNAP activity than stable controls. Thus, we propose that P2X7 and TNAP could serve as new plasma biomarkers for MCI and AD.","container-title":"International Journal of Molecular Sciences","DOI":"10.3390/ijms241310897","ISSN":"1422-0067","issue":"13","journalAbbreviation":"Int J Mol Sci","language":"eng","note":"PMID: 37446074\nPMCID: PMC10342008","page":"10897","source":"PubMed","title":"TNAP and P2X7R: New Plasma Biomarkers for Alzheimer's Disease","title-short":"TNAP and P2X7R","volume":"24","author":[{"family":"Aivar","given":"Paloma"},{"family":"Bianchi","given":"Carolina"},{"family":"Di Lauro","given":"Caterina"},{"family":"Soria-Tobar","given":"Lucia"},{"family":"Alvarez-Castelao","given":"Beatriz"},{"family":"Calero","given":"Miguel"},{"family":"Medina","given":"Miguel"},{"family":"Diaz-Hernandez","given":"Miguel"}],"issued":{"date-parts":[["2023",6,30]]}}},{"id":"7XVybpWP/5MDI6ICR","uris":["http://zotero.org/users/14808074/items/ZKQLJ28A"],"itemData":{"id":984,"type":"webpage","title":"Diagnostic Accuracy of a Plasma Phosphorylated Tau 217 Immunoassay for Alzheimer Disease Pathology | Dementia and Cognitive Impairment | JAMA Neurology | JAMA Network","URL":"https://jamanetwork.com/journals/jamaneurology/fullarticle/2813751","accessed":{"date-parts":[["2025",3,12]]}}}],"schema":"https://github.com/citation-style-language/schema/raw/master/csl-citation.json"} </w:instrText>
      </w:r>
      <w:r w:rsidRPr="00DD3983" w:rsidR="009D1269">
        <w:rPr>
          <w:rFonts w:ascii="Arial" w:hAnsi="Arial" w:cs="Arial"/>
          <w:sz w:val="22"/>
          <w:szCs w:val="22"/>
        </w:rPr>
        <w:fldChar w:fldCharType="separate"/>
      </w:r>
      <w:r w:rsidRPr="00025355" w:rsidR="00025355">
        <w:rPr>
          <w:rFonts w:ascii="Arial" w:hAnsi="Arial" w:cs="Arial"/>
          <w:sz w:val="22"/>
          <w:vertAlign w:val="superscript"/>
        </w:rPr>
        <w:t>35,39</w:t>
      </w:r>
      <w:r w:rsidRPr="00DD3983" w:rsidR="009D1269">
        <w:rPr>
          <w:rFonts w:ascii="Arial" w:hAnsi="Arial" w:cs="Arial"/>
          <w:sz w:val="22"/>
          <w:szCs w:val="22"/>
        </w:rPr>
        <w:fldChar w:fldCharType="end"/>
      </w:r>
      <w:r w:rsidRPr="00DD3983" w:rsidR="005F69AB">
        <w:rPr>
          <w:rFonts w:ascii="Arial" w:hAnsi="Arial" w:cs="Arial"/>
          <w:sz w:val="22"/>
          <w:szCs w:val="22"/>
        </w:rPr>
        <w:t xml:space="preserve"> </w:t>
      </w:r>
      <w:r w:rsidRPr="00DD3983" w:rsidR="006F67DB">
        <w:rPr>
          <w:rFonts w:ascii="Arial" w:hAnsi="Arial" w:cs="Arial"/>
          <w:sz w:val="22"/>
          <w:szCs w:val="22"/>
        </w:rPr>
        <w:t xml:space="preserve">Additionally, MRI-based hippocampal </w:t>
      </w:r>
      <w:r w:rsidRPr="00DD3983" w:rsidR="004765BE">
        <w:rPr>
          <w:rFonts w:ascii="Arial" w:hAnsi="Arial" w:cs="Arial"/>
          <w:sz w:val="22"/>
          <w:szCs w:val="22"/>
        </w:rPr>
        <w:t>volumetry used</w:t>
      </w:r>
      <w:r w:rsidRPr="00DD3983" w:rsidR="006F67DB">
        <w:rPr>
          <w:rFonts w:ascii="Arial" w:hAnsi="Arial" w:cs="Arial"/>
          <w:sz w:val="22"/>
          <w:szCs w:val="22"/>
        </w:rPr>
        <w:t xml:space="preserve"> to detect Alzheimer’s-related </w:t>
      </w:r>
      <w:r w:rsidRPr="00DD3983" w:rsidR="004765BE">
        <w:rPr>
          <w:rFonts w:ascii="Arial" w:hAnsi="Arial" w:cs="Arial"/>
          <w:sz w:val="22"/>
          <w:szCs w:val="22"/>
        </w:rPr>
        <w:t>atrophy faces</w:t>
      </w:r>
      <w:r w:rsidRPr="00DD3983" w:rsidR="006F67DB">
        <w:rPr>
          <w:rFonts w:ascii="Arial" w:hAnsi="Arial" w:cs="Arial"/>
          <w:sz w:val="22"/>
          <w:szCs w:val="22"/>
        </w:rPr>
        <w:t xml:space="preserve"> challenges due to inconsistencies in segmentation techniques and differences in population characteristics</w:t>
      </w:r>
      <w:r w:rsidR="008021A3">
        <w:rPr>
          <w:rFonts w:ascii="Arial" w:hAnsi="Arial" w:cs="Arial"/>
          <w:sz w:val="22"/>
          <w:szCs w:val="22"/>
        </w:rPr>
        <w:t>.</w:t>
      </w:r>
      <w:r w:rsidRPr="00DD3983" w:rsidR="00D17F34">
        <w:rPr>
          <w:rFonts w:ascii="Arial" w:hAnsi="Arial" w:cs="Arial"/>
          <w:sz w:val="22"/>
          <w:szCs w:val="22"/>
        </w:rPr>
        <w:fldChar w:fldCharType="begin"/>
      </w:r>
      <w:r w:rsidR="00025355">
        <w:rPr>
          <w:rFonts w:ascii="Arial" w:hAnsi="Arial" w:cs="Arial"/>
          <w:sz w:val="22"/>
          <w:szCs w:val="22"/>
        </w:rPr>
        <w:instrText xml:space="preserve"> ADDIN ZOTERO_ITEM CSL_CITATION {"citationID":"exbErAvV","properties":{"formattedCitation":"\\super 40\\uc0\\u8211{}43\\nosupersub{}","plainCitation":"40–43","noteIndex":0},"citationItems":[{"id":"7XVybpWP/eIMFiQmF","uris":["http://zotero.org/users/14808074/items/HVFWZJ58"],"itemData":{"id":966,"type":"article-journal","abstract":"Introduction\nAlzheimer's disease (AD), the most common cause of dementia, presents a global health crisis with its prevalence expected to triple worldwide by 2050, emphasizing the urgent need for early diagnosis to delay progression and improve patient quality of life. Our project aims to detect AD in its early phase by identifying subtle neuroanatomical changes with Radiomics features, offering a more accurate diagnosis.\nMethods\nThe AssemblyNet segmentation model was used to analyze brain changes by employing anonymized T1 MRI scans from 416 patients. For each segmented label we extracted Radiomic features. After preprocessing of Radiomic features we trained four models, Gradient Booster, Random Forest, Support Vector Classifier, and XGBoost, in a 70%/20%/10% train, validation and test split. All models were hyperparameter tuned with GridSearch, Cross validation and evaluated with accuracy on the test data.\nResults\n208 T1-weighted MRI scans were segmented, with 132 segmentation labels per patient, 1130 Radiomic features per segmentation, totalling in over 31 million features. For all four models we achieved accuracies between 0.71 and 0.86, and the machine learning model with highest accuracy were XGBoost, achieving an accuracy at 0.86 on the segmentation of the left inferior lateral ventricle.\nConclusion\nOur study's use of segmentation on T1-weighted MRI scans resulted promising accuracies for early AD diagnosis with the machine learning model XGBoost, peaking at 0.86 accuracy. Future research should aim to expand datasets and refine methodologies for broader applicability.\nImplication for practice\nImplementing Radiomics for early AD detection using T1-weighted MRI scans could substantially improve diagnostic accuracy, enabling earlier interventions that may delay disease progression and improve outcomes, thereby requiring radiographers to adopt more advanced imaging techniques and analysis tools, as well as additional training to effectively interpret complex Radiomic data.","container-title":"Radiography","DOI":"10.1016/j.radi.2024.06.016","ISSN":"1078-8174","issue":"5","journalAbbreviation":"Radiography","page":"1427-1433","source":"ScienceDirect","title":"Radiomics evaluation for the early detection of Alzheimer's dementia using T1-weighted MRI","volume":"30","author":[{"family":"Jytzler","given":"J. A."},{"family":"Lysdahlgaard","given":"S."}],"issued":{"date-parts":[["2024",8,1]]}}},{"id":"7XVybpWP/DXK7n6Uz","uris":["http://zotero.org/users/14808074/items/93S5KP4M"],"itemData":{"id":956,"type":"article-journal","abstract":"Alzheimer's disease (AD) is a neurodegenerative disease causing progressive cognitive decline until eventual death. AD affects millions of individuals worldwide in the absence of effective treatment options, and its clinical causes are still uncertain. The onset of dementia symptoms indicates severe neurodegeneration has already taken place. Therefore, AD diagnosis at an early stage is essential as it results in more effective therapy to slow its progression. The current clinical diagnosis of AD relies on mental examinations and brain imaging to determine whether patients meet diagnostic criteria, and biomedical research focuses on finding associated biomarkers by using neuroimaging techniques. Multiple clinical brain imaging modalities emerged as potential techniques to study AD, showing a range of capacity in their preciseness to identify the disease. This review presents the advantages and limitations of brain imaging modalities for AD diagnosis and discusses their clinical value.","container-title":"International Journal of Molecular Sciences","DOI":"10.3390/ijms23116079","ISSN":"1422-0067","issue":"11","journalAbbreviation":"Int J Mol Sci","language":"eng","note":"PMID: 35682758\nPMCID: PMC9181385","page":"6079","source":"PubMed","title":"Neuroimaging Modalities in Alzheimer's Disease: Diagnosis and Clinical Features","title-short":"Neuroimaging Modalities in Alzheimer's Disease","volume":"23","author":[{"family":"Kim","given":"JunHyun"},{"family":"Jeong","given":"Minhong"},{"family":"Stiles","given":"Wesley R."},{"family":"Choi","given":"Hak Soo"}],"issued":{"date-parts":[["2022",5,28]]}}},{"id":"7XVybpWP/wOIUiP6a","uris":["http://zotero.org/users/14808074/items/JWG3PFZ3"],"itemData":{"id":964,"type":"article-journal","abstract":"Worldwide, there are nearly 10 million new cases of dementia annually, of which Alzheimer’s disease (AD) is the most common. New measures are needed to improve the diagnosis of individuals with cognitive impairment due to various etiologies. Here, we report a deep learning framework that accomplishes multiple diagnostic steps in successive fashion to identify persons with normal cognition (NC), mild cognitive impairment (MCI), AD, and non-AD dementias (nADD). We demonstrate a range of models capable of accepting flexible combinations of routinely collected clinical information, including demographics, medical history, neuropsychological testing, neuroimaging, and functional assessments. We then show that these frameworks compare favorably with the diagnostic accuracy of practicing neurologists and neuroradiologists. Lastly, we apply interpretability methods in computer vision to show that disease-specific patterns detected by our models track distinct patterns of degenerative changes throughout the brain and correspond closely with the presence of neuropathological lesions on autopsy. Our work demonstrates methodologies for validating computational predictions with established standards of medical diagnosis.","container-title":"Nature Communications","DOI":"10.1038/s41467-022-31037-5","ISSN":"2041-1723","issue":"1","journalAbbreviation":"Nat Commun","language":"en","license":"2022 The Author(s)","note":"publisher: Nature Publishing Group","page":"3404","source":"www.nature.com","title":"Multimodal deep learning for Alzheimer’s disease dementia assessment","volume":"13","author":[{"family":"Qiu","given":"Shangran"},{"family":"Miller","given":"Matthew I."},{"family":"Joshi","given":"Prajakta S."},{"family":"Lee","given":"Joyce C."},{"family":"Xue","given":"Chonghua"},{"family":"Ni","given":"Yunruo"},{"family":"Wang","given":"Yuwei"},{"family":"De Anda-Duran","given":"Ileana"},{"family":"Hwang","given":"Phillip H."},{"family":"Cramer","given":"Justin A."},{"family":"Dwyer","given":"Brigid C."},{"family":"Hao","given":"Honglin"},{"family":"Kaku","given":"Michelle C."},{"family":"Kedar","given":"Sachin"},{"family":"Lee","given":"Peter H."},{"family":"Mian","given":"Asim Z."},{"family":"Murman","given":"Daniel L."},{"family":"O’Shea","given":"Sarah"},{"family":"Paul","given":"Aaron B."},{"family":"Saint-Hilaire","given":"Marie-Helene"},{"family":"Alton Sartor","given":"E."},{"family":"Saxena","given":"Aneeta R."},{"family":"Shih","given":"Ludy C."},{"family":"Small","given":"Juan E."},{"family":"Smith","given":"Maximilian J."},{"family":"Swaminathan","given":"Arun"},{"family":"Takahashi","given":"Courtney E."},{"family":"Taraschenko","given":"Olga"},{"family":"You","given":"Hui"},{"family":"Yuan","given":"Jing"},{"family":"Zhou","given":"Yan"},{"family":"Zhu","given":"Shuhan"},{"family":"Alosco","given":"Michael L."},{"family":"Mez","given":"Jesse"},{"family":"Stein","given":"Thor D."},{"family":"Poston","given":"Kathleen L."},{"family":"Au","given":"Rhoda"},{"family":"Kolachalama","given":"Vijaya B."}],"issued":{"date-parts":[["2022",6,20]]}}},{"id":"7XVybpWP/3efQISlH","uris":["http://zotero.org/users/14808074/items/NKZBRRNV"],"itemData":{"id":968,"type":"article-journal","abstract":"BACKGROUND: Alzheimer's disease (AD) is one of the most common neurodegenerative disorders in the elderly. Although numerous structural magnetic resonance imaging (sMRI) studies have reported diagnostic models that could distinguish AD from normal controls (NCs) with 80-95% accuracy, limited efforts have been made regarding the clinically practical computer-aided diagnosis (CAD) system for AD.\nOBJECTIVE: To explore the potential factors that hinder the clinical translation of the AD-related diagnostic models based on sMRI.\nMETHODS: To systematically review the diagnostic models for AD based on sMRI, we identified relevant studies published in the past 15 years on PubMed, Web of Science, Scopus, and Ovid. To evaluate the heterogeneity and publication bias among those studies, we performed subgroup analysis, meta-regression, Begg's test, and Egger's test.\nRESULTS: According to our screening criterion, 101 studies were included. Our results demonstrated that high diagnostic accuracy for distinguishing AD from NC was obtained in recently published studies, accompanied by significant heterogeneity. Meta-analysis showed that many factors contributed to the heterogeneity of high diagnostic accuracy of AD using sMRI, which included but was not limited to the following aspects: (i) different datasets; (ii) different machine learning models, e.g. traditional machine learning or deep learning model; (iii) different cross-validation methods, e.g. k-fold cross-validation leads to higher accuracies than leave-one-out cross-validation, but both overestimate the accuracy when compared to validation in independent samples; (iv) different sample sizes; and (v) the publication times. We speculate that these complicated variables might be the adverse factor for developing a clinically applicable system for the early diagnosis of AD.\nCONCLUSIONS: Our findings proved that previous studies reported promising results for classifying AD from NC with different models using sMRI. However, considering the many factors hindering clinical radiology practice, there would still be a long way to go to improve.","container-title":"Psychoradiology","DOI":"10.1093/psyrad/kkac001","ISSN":"2634-4416","issue":"1","journalAbbreviation":"Psychoradiology","language":"eng","note":"PMID: 38665142\nPMCID: PMC10939341","page":"287-295","source":"PubMed","title":"A systematic analysis of diagnostic performance for Alzheimer's disease using structural MRI","volume":"2","author":[{"family":"Wu","given":"Jiangping"},{"family":"Zhao","given":"Kun"},{"family":"Li","given":"Zhuangzhuang"},{"family":"Wang","given":"Dong"},{"family":"Ding","given":"Yanhui"},{"family":"Wei","given":"Yongbin"},{"family":"Zhang","given":"Han"},{"family":"Liu","given":"Yong"}],"issued":{"date-parts":[["2022",3]]}}}],"schema":"https://github.com/citation-style-language/schema/raw/master/csl-citation.json"} </w:instrText>
      </w:r>
      <w:r w:rsidRPr="00DD3983" w:rsidR="00D17F34">
        <w:rPr>
          <w:rFonts w:ascii="Arial" w:hAnsi="Arial" w:cs="Arial"/>
          <w:sz w:val="22"/>
          <w:szCs w:val="22"/>
        </w:rPr>
        <w:fldChar w:fldCharType="separate"/>
      </w:r>
      <w:r w:rsidRPr="00025355" w:rsidR="00025355">
        <w:rPr>
          <w:rFonts w:ascii="Arial" w:hAnsi="Arial" w:cs="Arial"/>
          <w:sz w:val="22"/>
          <w:vertAlign w:val="superscript"/>
        </w:rPr>
        <w:t>40–43</w:t>
      </w:r>
      <w:r w:rsidRPr="00DD3983" w:rsidR="00D17F34">
        <w:rPr>
          <w:rFonts w:ascii="Arial" w:hAnsi="Arial" w:cs="Arial"/>
          <w:sz w:val="22"/>
          <w:szCs w:val="22"/>
        </w:rPr>
        <w:fldChar w:fldCharType="end"/>
      </w:r>
      <w:r w:rsidRPr="00DD3983" w:rsidR="00D17F34">
        <w:rPr>
          <w:rFonts w:ascii="Arial" w:hAnsi="Arial" w:cs="Arial"/>
          <w:sz w:val="22"/>
          <w:szCs w:val="22"/>
        </w:rPr>
        <w:t xml:space="preserve"> </w:t>
      </w:r>
      <w:r w:rsidR="009D61D6">
        <w:rPr>
          <w:rFonts w:ascii="Arial" w:hAnsi="Arial" w:cs="Arial"/>
          <w:color w:val="000000" w:themeColor="text1"/>
          <w:sz w:val="22"/>
          <w:szCs w:val="22"/>
        </w:rPr>
        <w:t>Also</w:t>
      </w:r>
      <w:r w:rsidRPr="00DD3983" w:rsidR="007B0170">
        <w:rPr>
          <w:rFonts w:ascii="Arial" w:hAnsi="Arial" w:cs="Arial"/>
          <w:color w:val="000000" w:themeColor="text1"/>
          <w:sz w:val="22"/>
          <w:szCs w:val="22"/>
        </w:rPr>
        <w:t>, AI models analyzing brain MRI data show promise but are hindered by the need for large, diverse datasets, algorithmic complexity and variability in imaging protocols</w:t>
      </w:r>
      <w:r w:rsidR="008021A3">
        <w:rPr>
          <w:rFonts w:ascii="Arial" w:hAnsi="Arial" w:cs="Arial"/>
          <w:color w:val="000000" w:themeColor="text1"/>
          <w:sz w:val="22"/>
          <w:szCs w:val="22"/>
        </w:rPr>
        <w:t>.</w:t>
      </w:r>
      <w:r w:rsidRPr="00DD3983" w:rsidR="007B0170">
        <w:rPr>
          <w:rFonts w:ascii="Arial" w:hAnsi="Arial" w:cs="Arial"/>
          <w:sz w:val="22"/>
          <w:szCs w:val="22"/>
        </w:rPr>
        <w:fldChar w:fldCharType="begin"/>
      </w:r>
      <w:r w:rsidR="00025355">
        <w:rPr>
          <w:rFonts w:ascii="Arial" w:hAnsi="Arial" w:cs="Arial"/>
          <w:sz w:val="22"/>
          <w:szCs w:val="22"/>
        </w:rPr>
        <w:instrText xml:space="preserve"> ADDIN ZOTERO_ITEM CSL_CITATION {"citationID":"ySxPFEYC","properties":{"formattedCitation":"\\super 44,45\\nosupersub{}","plainCitation":"44,45","noteIndex":0},"citationItems":[{"id":"7XVybpWP/QBgTUxTT","uris":["http://zotero.org/users/14808074/items/DFBKH4D8"],"itemData":{"id":973,"type":"article-journal","abstract":"BACKGROUND: The early diagnosis of Alzheimer's disease (AD) and mild cognitive impairment (MCI) remains a significant challenge in neurology, with conventional methods often limited by subjectivity and variability in interpretation. Integrating deep learning with artificial intelligence (AI) in magnetic resonance imaging (MRI) analysis emerges as a transformative approach, offering the potential for unbiased, highly accurate diagnostic insights.\nOBJECTIVE: A meta-analysis was designed to analyze the diagnostic accuracy of deep learning of MRI images on AD and MCI models.\nMETHODS: A meta-analysis was performed across PubMed, Embase, and Cochrane library databases following the Preferred Reporting Items for Systematic Reviews and Meta-Analyses (PRISMA) guidelines, focusing on the diagnostic accuracy of deep learning. Subsequently, methodological quality was assessed using the QUADAS-2 checklist. Diagnostic measures, including sensitivity, specificity, likelihood ratios, diagnostic odds ratio, and area under the receiver operating characteristic curve (AUROC) were analyzed, alongside subgroup analyses for T1-weighted and non-T1-weighted MRI.\nRESULTS: A total of 18 eligible studies were identified. The Spearman correlation coefficient was -0.6506. Meta-analysis showed that the combined sensitivity and specificity, positive likelihood ratio, negative likelihood ratio, and diagnostic odds ratio were 0.84, 0.86, 6.0, 0.19, and 32, respectively. The AUROC was 0.92. The quiescent point of hierarchical summary of receiver operating characteristic (HSROC) was 3.463. Notably, the images of 12 studies were acquired by T1-weighted MRI alone, and those of the other 6 were gathered by non-T1-weighted MRI alone.\nCONCLUSION: Overall, deep learning of MRI for the diagnosis of AD and MCI showed good sensitivity and specificity and contributed to improving diagnostic accuracy.","container-title":"Arquivos De Neuro-Psiquiatria","DOI":"10.1055/s-0044-1788657","ISSN":"1678-4227","issue":"8","journalAbbreviation":"Arq Neuropsiquiatr","language":"eng","note":"PMID: 39146974\nPMCID: PMC11500276","page":"1-10","source":"PubMed","title":"Revolutionizing early Alzheimer's disease and mild cognitive impairment diagnosis: a deep learning MRI meta-analysis","title-short":"Revolutionizing early Alzheimer's disease and mild cognitive impairment diagnosis","volume":"82","author":[{"family":"Wang","given":"Li-Xue"},{"family":"Wang","given":"Yi-Zhe"},{"family":"Han","given":"Chen-Guang"},{"family":"Zhao","given":"Lei"},{"family":"He","given":"Li"},{"family":"Li","given":"Jie"}],"issued":{"date-parts":[["2024",8]]}}},{"id":"7XVybpWP/6vz4MA07","uris":["http://zotero.org/users/14808074/items/XZQ5WYDH"],"itemData":{"id":976,"type":"article-journal","abstract":"Alzheimer's disease, a primary neurodegenerative condition, predominantly impacts the elderly and pre-elderly population. This progressive neurological disorder is characterized by an array of symptoms including memory loss, cognitive decline, and various physiological and psychological disturbances, significantly compromising the quality of life of patients and their caregivers. Recent advancements in Magnetic Resonance Imaging (MRI) technology have catalyzed research in AI-enhanced diagnostics for Alzheimer's disease, fostering optimism for early detection and timely interventions. This progress has paved the way for the development of sophisticated algorithms and models adept at analyzing complex brain imaging data, thereby augmenting diagnostic accuracy and efficiency. This advancement fuels optimism regarding the transformative potential of AI-driven diagnostics in revolutionizing Alzheimer's disease management, with the prospect of facilitating more effective treatment strategies and improved patient outcomes. The objective of this review is to provide a comprehensive overview of recent developments in deep learning methodologies applied to brain MRI images for the classification of various stages of Alzheimer's disease, with a particular emphasis on early diagnosis. Furthermore, this review underscores the limitations of current research, discussing potential challenges and future research directions in this dynamic field.","container-title":"European Journal of Radiology","DOI":"10.1016/j.ejrad.2023.110934","ISSN":"1872-7727","journalAbbreviation":"Eur J Radiol","language":"eng","note":"PMID: 37354773","page":"110934","source":"PubMed","title":"Artificial intelligence-based diagnosis of Alzheimer's disease with brain MRI images","volume":"165","author":[{"family":"Yao","given":"Zhaomin"},{"family":"Wang","given":"Hongyu"},{"family":"Yan","given":"Wencheng"},{"family":"Wang","given":"Zheling"},{"family":"Zhang","given":"Wenwen"},{"family":"Wang","given":"Zhiguo"},{"family":"Zhang","given":"Guoxu"}],"issued":{"date-parts":[["2023",8]]}}}],"schema":"https://github.com/citation-style-language/schema/raw/master/csl-citation.json"} </w:instrText>
      </w:r>
      <w:r w:rsidRPr="00DD3983" w:rsidR="007B0170">
        <w:rPr>
          <w:rFonts w:ascii="Arial" w:hAnsi="Arial" w:cs="Arial"/>
          <w:sz w:val="22"/>
          <w:szCs w:val="22"/>
        </w:rPr>
        <w:fldChar w:fldCharType="separate"/>
      </w:r>
      <w:r w:rsidRPr="00025355" w:rsidR="00025355">
        <w:rPr>
          <w:rFonts w:ascii="Arial" w:hAnsi="Arial" w:cs="Arial"/>
          <w:sz w:val="22"/>
          <w:vertAlign w:val="superscript"/>
        </w:rPr>
        <w:t>44,45</w:t>
      </w:r>
      <w:r w:rsidRPr="00DD3983" w:rsidR="007B0170">
        <w:rPr>
          <w:rFonts w:ascii="Arial" w:hAnsi="Arial" w:cs="Arial"/>
          <w:sz w:val="22"/>
          <w:szCs w:val="22"/>
        </w:rPr>
        <w:fldChar w:fldCharType="end"/>
      </w:r>
      <w:r w:rsidRPr="00DD3983" w:rsidR="00906783">
        <w:rPr>
          <w:rFonts w:ascii="Arial" w:hAnsi="Arial" w:cs="Arial"/>
          <w:sz w:val="22"/>
          <w:szCs w:val="22"/>
        </w:rPr>
        <w:t xml:space="preserve"> </w:t>
      </w:r>
      <w:r w:rsidRPr="00DD3983" w:rsidR="0044480F">
        <w:rPr>
          <w:rFonts w:ascii="Arial" w:hAnsi="Arial" w:cs="Arial"/>
          <w:sz w:val="22"/>
          <w:szCs w:val="22"/>
        </w:rPr>
        <w:t>Without diverse and</w:t>
      </w:r>
      <w:r w:rsidRPr="00DD3983" w:rsidR="007B0170">
        <w:rPr>
          <w:rFonts w:ascii="Arial" w:hAnsi="Arial" w:cs="Arial"/>
          <w:sz w:val="22"/>
          <w:szCs w:val="22"/>
        </w:rPr>
        <w:t xml:space="preserve"> </w:t>
      </w:r>
      <w:r w:rsidRPr="00DD3983" w:rsidR="00906783">
        <w:rPr>
          <w:rFonts w:ascii="Arial" w:hAnsi="Arial" w:cs="Arial"/>
          <w:sz w:val="22"/>
          <w:szCs w:val="22"/>
        </w:rPr>
        <w:t>representative</w:t>
      </w:r>
      <w:r w:rsidRPr="00DD3983" w:rsidR="0044480F">
        <w:rPr>
          <w:rFonts w:ascii="Arial" w:hAnsi="Arial" w:cs="Arial"/>
          <w:sz w:val="22"/>
          <w:szCs w:val="22"/>
        </w:rPr>
        <w:t xml:space="preserve"> study populations, the applicability of these diagnostic tools remains limited.</w:t>
      </w:r>
      <w:r w:rsidRPr="00DD3983" w:rsidR="0021512E">
        <w:rPr>
          <w:rFonts w:ascii="Arial" w:hAnsi="Arial" w:cs="Arial"/>
          <w:sz w:val="22"/>
          <w:szCs w:val="22"/>
        </w:rPr>
        <w:t xml:space="preserve"> Validating</w:t>
      </w:r>
      <w:r w:rsidRPr="00DD3983">
        <w:rPr>
          <w:rFonts w:ascii="Arial" w:hAnsi="Arial" w:cs="Arial"/>
          <w:sz w:val="22"/>
          <w:szCs w:val="22"/>
        </w:rPr>
        <w:t xml:space="preserve"> these tools rely on small, homogenous cohorts, making it difficult to apply findings to diverse populations</w:t>
      </w:r>
      <w:r w:rsidR="008021A3">
        <w:rPr>
          <w:rFonts w:ascii="Arial" w:hAnsi="Arial" w:cs="Arial"/>
          <w:sz w:val="22"/>
          <w:szCs w:val="22"/>
        </w:rPr>
        <w:t>.</w:t>
      </w:r>
      <w:r w:rsidRPr="00DD3983" w:rsidR="00ED62DF">
        <w:rPr>
          <w:rFonts w:ascii="Arial" w:hAnsi="Arial" w:cs="Arial"/>
          <w:sz w:val="22"/>
          <w:szCs w:val="22"/>
        </w:rPr>
        <w:fldChar w:fldCharType="begin"/>
      </w:r>
      <w:r w:rsidR="00025355">
        <w:rPr>
          <w:rFonts w:ascii="Arial" w:hAnsi="Arial" w:cs="Arial"/>
          <w:sz w:val="22"/>
          <w:szCs w:val="22"/>
        </w:rPr>
        <w:instrText xml:space="preserve"> ADDIN ZOTERO_ITEM CSL_CITATION {"citationID":"fofkqTgI","properties":{"formattedCitation":"\\super 35\\uc0\\u8211{}38\\nosupersub{}","plainCitation":"35–38","noteIndex":0},"citationItems":[{"id":"7XVybpWP/5MDI6ICR","uris":["http://zotero.org/users/14808074/items/ZKQLJ28A"],"itemData":{"id":984,"type":"webpage","title":"Diagnostic Accuracy of a Plasma Phosphorylated Tau 217 Immunoassay for Alzheimer Disease Pathology | Dementia and Cognitive Impairment | JAMA Neurology | JAMA Network","URL":"https://jamanetwork.com/journals/jamaneurology/fullarticle/2813751","accessed":{"date-parts":[["2025",3,12]]}}},{"id":"7XVybpWP/klSO9zkZ","uris":["http://zotero.org/users/14808074/items/MLFTZZM4"],"itemData":{"id":986,"type":"article-journal","abstract":"BACKGROUND: The purpose of this study was to assess the impact of vendor-provided atlas-based MRAC on FDG PET/MR for the evaluation of Alzheimer's disease (AD) by using simulated images.\nMETHODS: We recruited 47 patients, from two institutions, who underwent PET/CT and PET/MR (GE SIGNA) examination for oncological staging. From the PET raw data acquired on PET/MR, two FDG-PET series were generated, using vendor-provided MRAC (atlas-based) and CTAC. The following simulation steps were performed in MNI space: After spatial normalization and smoothing of the PET datasets, we calculated the error map for each patient, PETMRAC/PETCTAC. We multiplied each of these 47 error maps with each of the 203 Alzheimer's Disease Neuroimaging Initiative (ADNI) cases after the identical normalization and smoothing. This resulted in 203*47 = 9541 datasets. To evaluate the probability of AD in each resulting image, a cumulative t-value was calculated automatically using commercially-available software (PMOD PALZ) which has been used in multiple large cohort studies. The diagnostic accuracy for the discrimination of AD and predicting progression from mild cognitive impairment (MCI) to AD were evaluated in simulated images compared with ADNI original images.\nRESULTS: The accuracy and specificity for the discrimination of AD-patients from normal controls were not substantially impaired, but sensitivity was slightly impaired in 5 out of 47 datasets (original vs. error; 83.2% [CI 75.0%-89.0%], 83.3% [CI 74.2%-89.8%] and 83.1% [CI 75.6%-88.3%] vs. 82.7% [range 80.4-85.0%], 78.5% [range 72.9-83.3%,] and 86.1% [range 81.4-89.8%]). The accuracy, sensitivity and specificity for predicting progression from MCI to AD during 2-year follow-up was not impaired (original vs. error; 62.5% [CI 53.3%-69.3%], 78.8% [CI 65.4%-88.6%] and 54.0% [CI 47.0%-69.1%] vs. 64.8% [range 61.5-66.7%], 75.7% [range 66.7-81.8%,] and 59.0% [range 50.8-63.5%]). The worst 3 error maps show a tendency towards underestimation of PET scores.\nCONCLUSION: FDG-PET/MR based on atlas-based MR attenuation correction showed similar diagnostic accuracy to the CT-based method for the diagnosis of AD and the prediction of progression of MCI to AD using commercially-available software, although with a minor reduction in sensitivity.","container-title":"PloS One","DOI":"10.1371/journal.pone.0233886","ISSN":"1932-6203","issue":"6","journalAbbreviation":"PLoS One","language":"eng","note":"PMID: 32492074\nPMCID: PMC7269241","page":"e0233886","source":"PubMed","title":"The impact of atlas-based MR attenuation correction on the diagnosis of FDG-PET/MR for Alzheimer's diseases- A simulation study combining multi-center data and ADNI-data","volume":"15","author":[{"family":"Sekine","given":"Tetsuro"},{"family":"Buck","given":"Alfred"},{"family":"Delso","given":"Gaspar"},{"family":"Kemp","given":"Bradley"},{"family":"Ter Voert","given":"Edwin E. G. W."},{"family":"Huellner","given":"Martin"},{"family":"Veit-Haibach","given":"Patrick"},{"family":"Kaushik","given":"Sandeep"},{"family":"Wiesinger","given":"Florian"},{"family":"Warnock","given":"Geoffrey"},{"literal":"Alzheimer’s Disease Neuroimaging Initiative"}],"issued":{"date-parts":[["2020"]]}}},{"id":"7XVybpWP/VdMv1SKI","uris":["http://zotero.org/users/14808074/items/432YB8QD"],"itemData":{"id":978,"type":"article-journal","abstract":"OBJECTIVE: There is still an urgent need for supportive minimally invasive and cost-effective biomarkers for early diagnosis of Alzheimer's disease (AD). Previous work in our lab has identified Kallikrein-8 (KLK8) as a potential candidate since it shows an excessive increase in human brain in preclinical disease stages. The aim of this study was to evaluate the diagnostic performance of cerebrospinal fluid (CSF) and blood KLK8 for AD and mild cognitive impairment (MCI) due to AD.\nMETHODS: In this multi-centre trans-sectional study, clinical and laboratory data as well as CSF and/or blood serum samples of 237 participants, including 98 patients with mild AD, 21 with MCI due to AD and 118 controls were collected. CSF and/or serum KLK8 levels were analysed by ELISA. The diagnostic accuracy of KLK8 in CSF and blood was determined using receiver operating characteristic (ROC) analyses and compared with that of CSF core biomarkers Aβ42, P-tau and T-tau.\nRESULTS: The diagnostic accuracy of CSF KLK8 was as good as that of core CSF biomarkers for AD (area under the curve (AUC)=0.89) and in case of MCI (AUC=0.97) even superior to CSF Aβ42. Blood KLK8 was a similarly strong discriminator for MCI (AUC=0.94) but slightly weaker for AD (AUC=0.83).\nCONCLUSIONS: This is the first study to demonstrate the potential clinical utility of blood and CSF KLK8 as a biomarker for incipient AD. Future prospective validation studies are warranted.","container-title":"Journal of Neurology, Neurosurgery, and Psychiatry","DOI":"10.1136/jnnp-2019-321073","ISSN":"1468-330X","issue":"1","journalAbbreviation":"J Neurol Neurosurg Psychiatry","language":"eng","note":"PMID: 31371645\nPMCID: PMC6952834","page":"40-48","source":"PubMed","title":"CSF and blood Kallikrein-8: a promising early biomarker for Alzheimer's disease","title-short":"CSF and blood Kallikrein-8","volume":"91","author":[{"family":"Teuber-Hanselmann","given":"Sarah"},{"family":"Rekowski","given":"Jan"},{"family":"Vogelgsang","given":"Jonathan"},{"family":"Arnim","given":"Christine","non-dropping-particle":"von"},{"family":"Reetz","given":"Kathrin"},{"family":"Stang","given":"Andreas"},{"family":"Jöckel","given":"Karl-Heinz"},{"family":"Wiltfang","given":"Jens"},{"family":"Esselmann","given":"Herrmann"},{"family":"Otto","given":"Markus"},{"family":"Tumani","given":"Hayrettin"},{"family":"Herring","given":"Arne"},{"family":"Keyvani","given":"Kathy"}],"issued":{"date-parts":[["2020",1]]}}},{"id":"7XVybpWP/RHWeRe43","uris":["http://zotero.org/users/14808074/items/VPGGRQR3"],"itemData":{"id":981,"type":"article-journal","abstract":"BACKGROUND: Early biomarkers of prodromal Alzheimer's disease (AD) are critical both to initiate interventions and to choose participants for clinical trials. Odor threshold, odor identification and odor familiarity are impaired in AD.\nMETHODS: We investigated the relative abilities of standard screening (MMSE) and olfactory measures to predict transitions from cognitively normal (CN) to mild cognitive impairment (MCI), from CN to AD, and MCI to AD. The archival sample of 497, from the UCSD ADRC, included participants who were CN, MCI, AD and converters to MCI or AD. Apoe ε4 status, a genetic risk factor, was available for 256 participants, 132 were ε4 carriers. A receiver operating characteristic curve (ROC) curve plots the trade-off between sensitivity and specificity. Area under the ROC curve (AUC) was used to determine diagnostic accuracy.\nRESULTS: Different measures were better predictors at specific stages of disease risk; e.g., odor familiarity, odor identification and the combination showed higher predictive value for converting from MCI to AD in ε4 carriers than the MMSE. Combining odor familiarity and odor identification produced an AUC of 1.0 in ε4 carriers, MMSE alone was 0.58.\nCONCLUSIONS: Olfactory biomarkers show real promise as non-invasive indicators of prodromal AD. The results support the value of combining olfactory measures in assessment of risk for conversion to MCI and to AD.","container-title":"Brain Sciences","DOI":"10.3390/brainsci11111391","ISSN":"2076-3425","issue":"11","journalAbbreviation":"Brain Sci","language":"eng","note":"PMID: 34827390\nPMCID: PMC8615615","page":"1391","source":"PubMed","title":"Olfactory Measures as Predictors of Conversion to Mild Cognitive Impairment and Alzheimer's Disease","volume":"11","author":[{"family":"Wheeler","given":"Paul Loyd"},{"family":"Murphy","given":"Claire"}],"issued":{"date-parts":[["2021",10,23]]}}}],"schema":"https://github.com/citation-style-language/schema/raw/master/csl-citation.json"} </w:instrText>
      </w:r>
      <w:r w:rsidRPr="00DD3983" w:rsidR="00ED62DF">
        <w:rPr>
          <w:rFonts w:ascii="Arial" w:hAnsi="Arial" w:cs="Arial"/>
          <w:sz w:val="22"/>
          <w:szCs w:val="22"/>
        </w:rPr>
        <w:fldChar w:fldCharType="separate"/>
      </w:r>
      <w:r w:rsidRPr="00025355" w:rsidR="00025355">
        <w:rPr>
          <w:rFonts w:ascii="Arial" w:hAnsi="Arial" w:cs="Arial"/>
          <w:sz w:val="22"/>
          <w:vertAlign w:val="superscript"/>
        </w:rPr>
        <w:t>35–38</w:t>
      </w:r>
      <w:r w:rsidRPr="00DD3983" w:rsidR="00ED62DF">
        <w:rPr>
          <w:rFonts w:ascii="Arial" w:hAnsi="Arial" w:cs="Arial"/>
          <w:sz w:val="22"/>
          <w:szCs w:val="22"/>
        </w:rPr>
        <w:fldChar w:fldCharType="end"/>
      </w:r>
      <w:r w:rsidRPr="00DD3983">
        <w:rPr>
          <w:rFonts w:ascii="Arial" w:hAnsi="Arial" w:cs="Arial"/>
          <w:sz w:val="22"/>
          <w:szCs w:val="22"/>
        </w:rPr>
        <w:t xml:space="preserve"> </w:t>
      </w:r>
    </w:p>
    <w:p w:rsidR="00514F0F" w:rsidP="00F6306A" w:rsidRDefault="00514F0F" w14:paraId="23A3E8A1" w14:textId="77777777">
      <w:pPr>
        <w:pStyle w:val="NormalWeb"/>
        <w:spacing w:before="0" w:beforeAutospacing="0" w:after="0" w:afterAutospacing="0"/>
        <w:jc w:val="both"/>
        <w:rPr>
          <w:rFonts w:ascii="Arial" w:hAnsi="Arial" w:cs="Arial"/>
          <w:sz w:val="22"/>
          <w:szCs w:val="22"/>
        </w:rPr>
      </w:pPr>
    </w:p>
    <w:p w:rsidRPr="00F6306A" w:rsidR="00F6306A" w:rsidP="00F6306A" w:rsidRDefault="00F6306A" w14:paraId="1F5078E5" w14:textId="77777777">
      <w:pPr>
        <w:pStyle w:val="NormalWeb"/>
        <w:spacing w:before="0" w:beforeAutospacing="0" w:after="0" w:afterAutospacing="0"/>
        <w:jc w:val="both"/>
        <w:rPr>
          <w:rFonts w:ascii="Arial" w:hAnsi="Arial" w:cs="Arial"/>
          <w:sz w:val="22"/>
          <w:szCs w:val="22"/>
        </w:rPr>
      </w:pPr>
    </w:p>
    <w:p w:rsidRPr="00595CC0" w:rsidR="00906783" w:rsidP="00680402" w:rsidRDefault="004B129F" w14:paraId="3159AC54" w14:textId="31B2C487">
      <w:pPr>
        <w:pStyle w:val="Heading3"/>
        <w:spacing w:before="0" w:line="240" w:lineRule="auto"/>
        <w:rPr>
          <w:rFonts w:cs="Arial"/>
          <w:iCs/>
          <w:sz w:val="22"/>
          <w:szCs w:val="22"/>
        </w:rPr>
      </w:pPr>
      <w:r w:rsidRPr="00595CC0">
        <w:rPr>
          <w:iCs/>
        </w:rPr>
        <w:t>Lack of Standardization</w:t>
      </w:r>
      <w:r w:rsidRPr="00595CC0" w:rsidR="00C54B8B">
        <w:rPr>
          <w:rFonts w:cs="Arial"/>
          <w:iCs/>
          <w:sz w:val="22"/>
          <w:szCs w:val="22"/>
        </w:rPr>
        <w:t xml:space="preserve"> and </w:t>
      </w:r>
      <w:r w:rsidRPr="00595CC0" w:rsidR="00FF6AB9">
        <w:rPr>
          <w:rFonts w:cs="Arial"/>
          <w:iCs/>
          <w:sz w:val="22"/>
          <w:szCs w:val="22"/>
        </w:rPr>
        <w:t>P</w:t>
      </w:r>
      <w:r w:rsidRPr="00595CC0" w:rsidR="00C54B8B">
        <w:rPr>
          <w:rFonts w:cs="Arial"/>
          <w:iCs/>
          <w:sz w:val="22"/>
          <w:szCs w:val="22"/>
        </w:rPr>
        <w:t xml:space="preserve">rotocol </w:t>
      </w:r>
      <w:r w:rsidRPr="00595CC0" w:rsidR="00FF6AB9">
        <w:rPr>
          <w:rFonts w:cs="Arial"/>
          <w:iCs/>
          <w:sz w:val="22"/>
          <w:szCs w:val="22"/>
        </w:rPr>
        <w:t>V</w:t>
      </w:r>
      <w:r w:rsidRPr="00595CC0" w:rsidR="00C54B8B">
        <w:rPr>
          <w:rFonts w:cs="Arial"/>
          <w:iCs/>
          <w:sz w:val="22"/>
          <w:szCs w:val="22"/>
        </w:rPr>
        <w:t>ar</w:t>
      </w:r>
      <w:r w:rsidRPr="00595CC0" w:rsidR="00E17BB3">
        <w:rPr>
          <w:rFonts w:cs="Arial"/>
          <w:iCs/>
          <w:sz w:val="22"/>
          <w:szCs w:val="22"/>
        </w:rPr>
        <w:t>iability</w:t>
      </w:r>
    </w:p>
    <w:p w:rsidRPr="00DD3983" w:rsidR="00906783" w:rsidP="00680402" w:rsidRDefault="00561B0A" w14:paraId="50592493" w14:textId="50115782">
      <w:pPr>
        <w:pStyle w:val="NormalWeb"/>
        <w:spacing w:before="0" w:beforeAutospacing="0" w:after="0" w:afterAutospacing="0"/>
        <w:jc w:val="both"/>
        <w:rPr>
          <w:rFonts w:ascii="Arial" w:hAnsi="Arial" w:cs="Arial"/>
          <w:sz w:val="22"/>
          <w:szCs w:val="22"/>
        </w:rPr>
      </w:pPr>
      <w:r w:rsidRPr="00DD3983">
        <w:rPr>
          <w:rFonts w:ascii="Arial" w:hAnsi="Arial" w:cs="Arial"/>
          <w:color w:val="000000" w:themeColor="text1"/>
          <w:sz w:val="22"/>
          <w:szCs w:val="22"/>
        </w:rPr>
        <w:t>CSF biomarkers, including Aβ42, T-tau, and P-tau, demonstrate high diagnostic accuracy, with the Aβ42/40 ratio performing best (sensitivity: 0.94, specificity: 0.82) compared to amyloid PET</w:t>
      </w:r>
      <w:r w:rsidR="008021A3">
        <w:rPr>
          <w:rFonts w:ascii="Arial" w:hAnsi="Arial" w:cs="Arial"/>
          <w:color w:val="000000" w:themeColor="text1"/>
          <w:sz w:val="22"/>
          <w:szCs w:val="22"/>
        </w:rPr>
        <w:t>.</w:t>
      </w:r>
      <w:r w:rsidRPr="00DD3983">
        <w:rPr>
          <w:rFonts w:ascii="Arial" w:hAnsi="Arial" w:cs="Arial"/>
          <w:color w:val="000000" w:themeColor="text1"/>
          <w:sz w:val="22"/>
          <w:szCs w:val="22"/>
        </w:rPr>
        <w:fldChar w:fldCharType="begin"/>
      </w:r>
      <w:r w:rsidR="00025355">
        <w:rPr>
          <w:rFonts w:ascii="Arial" w:hAnsi="Arial" w:cs="Arial"/>
          <w:color w:val="000000" w:themeColor="text1"/>
          <w:sz w:val="22"/>
          <w:szCs w:val="22"/>
        </w:rPr>
        <w:instrText xml:space="preserve"> ADDIN ZOTERO_ITEM CSL_CITATION {"citationID":"JU6CIITN","properties":{"formattedCitation":"\\super 46\\nosupersub{}","plainCitation":"46","noteIndex":0},"citationItems":[{"id":"7XVybpWP/BKdmNoUG","uris":["http://zotero.org/users/14808074/items/IIP2M6A3"],"itemData":{"id":996,"type":"article-journal","abstract":"BACKGROUND: Cerebrospinal fluid (CSF) analysis for detecting amyloid positivity may be as reliable as positron emission tomography (PET). We evaluated the performance of the amyloid beta (Aβ)42/40 ratio for predicting amyloid positivity by PET, compared with Aβ42 alone, and phosphorylated tau 181 (pTau181)/Aβ42 and total tau (tTau)/Aβ42 ratios, using fully automated CSF immunoassays (Roche Diagnostics International Ltd, Rotkreuz, Switzerland) in a heterogeneous cohort of patients with a range of cognitive disorders reflecting the typical population of a memory clinic.\nMETHODS: CSF samples from 103 patients with known amyloid PET status (PET positive = 54; PET negative = 49) were retrospectively selected from one site in Germany; 71 patients were undergoing treatment for mild cognitive impairment (n = 44) or mild-to-moderate dementia (n = 27) due to Alzheimer's disease (AD), and 32 patients were undergoing treatment for non-AD-related cognitive disorders. Aβ42, pTau181, and tTau concentrations were measured in CSF samples using the respective Elecsys® CSF immunoassays modified for use on the cobas e 411 analyzer; Aβ40 concentrations were measured using a non-commercially available robust prototype assay. Sensitivities/specificities for amyloid positivity cut-offs (Youden-derived and pre-defined) were calculated, and receiver operating characteristic analyses determined area under the curve (AUC) versus amyloid PET status. Limitations include a small sample size, use of a pre-analytical protocol not in accordance with the Elecsys CSF immunoassay method sheets, and the lack of a pre-defined cut-off for Aβ42/40.\nRESULTS: Point estimates for sensitivity and specificity of CSF biomarkers and biomarker ratios versus amyloid PET were 0.93 and 0.57 for Aβ42, 0.96 and 0.69 for pTau181/Aβ42, 0.92 and 0.69 for tTau/Aβ42, and 0.94 and 0.82 for Aβ42/40. For AUCs, point estimates (95% confidence intervals) versus amyloid PET were 0.78 (0.68-0.88) for Aβ42, 0.88 (0.81-0.95) for pTau181/Aβ42, 0.87 (0.80-0.95) for tTau/Aβ42, and 0.90 (0.83-0.97) for Aβ42/40.\nCONCLUSIONS: CSF Aβ42/40 ratio can predict PET amyloid positivity with high accuracy in patients with a range of cognitive disorders when evaluating Aβ pathology independent of tau and neurodegeneration for research purposes. The performance of Aβ42/40 was comparable with pTau181/Aβ42 and tTau/Aβ42 used in clinical practice and better than Aβ42 alone.","container-title":"Alzheimer's Research &amp; Therapy","DOI":"10.1186/s13195-022-01003-w","ISSN":"1758-9193","issue":"1","journalAbbreviation":"Alzheimers Res Ther","language":"eng","note":"PMID: 35473631\nPMCID: PMC9044878","page":"60","source":"PubMed","title":"The cerebrospinal fluid biomarker ratio Aβ42/40 identifies amyloid positron emission tomography positivity better than Aβ42 alone in a heterogeneous memory clinic cohort","volume":"14","author":[{"family":"Amft","given":"Michaela"},{"family":"Ortner","given":"Marion"},{"family":"Eichenlaub","given":"Udo"},{"family":"Goldhardt","given":"Oliver"},{"family":"Diehl-Schmid","given":"Janine"},{"family":"Hedderich","given":"Dennis M."},{"family":"Yakushev","given":"Igor"},{"family":"Grimmer","given":"Timo"}],"issued":{"date-parts":[["2022",4,26]]}}}],"schema":"https://github.com/citation-style-language/schema/raw/master/csl-citation.json"} </w:instrText>
      </w:r>
      <w:r w:rsidRPr="00DD3983">
        <w:rPr>
          <w:rFonts w:ascii="Arial" w:hAnsi="Arial" w:cs="Arial"/>
          <w:color w:val="000000" w:themeColor="text1"/>
          <w:sz w:val="22"/>
          <w:szCs w:val="22"/>
        </w:rPr>
        <w:fldChar w:fldCharType="separate"/>
      </w:r>
      <w:r w:rsidRPr="00025355" w:rsidR="00025355">
        <w:rPr>
          <w:rFonts w:ascii="Arial" w:hAnsi="Arial" w:cs="Arial"/>
          <w:sz w:val="22"/>
          <w:vertAlign w:val="superscript"/>
        </w:rPr>
        <w:t>46</w:t>
      </w:r>
      <w:r w:rsidRPr="00DD3983">
        <w:rPr>
          <w:rFonts w:ascii="Arial" w:hAnsi="Arial" w:cs="Arial"/>
          <w:color w:val="000000" w:themeColor="text1"/>
          <w:sz w:val="22"/>
          <w:szCs w:val="22"/>
        </w:rPr>
        <w:fldChar w:fldCharType="end"/>
      </w:r>
      <w:r w:rsidRPr="00DD3983">
        <w:rPr>
          <w:rFonts w:ascii="Arial" w:hAnsi="Arial" w:cs="Arial"/>
          <w:color w:val="000000" w:themeColor="text1"/>
          <w:sz w:val="22"/>
          <w:szCs w:val="22"/>
        </w:rPr>
        <w:t xml:space="preserve"> However, clinical adoption is limited by methodological inconsistencies in sample handling and assay techniques</w:t>
      </w:r>
      <w:r w:rsidR="00A13316">
        <w:rPr>
          <w:rFonts w:ascii="Arial" w:hAnsi="Arial" w:cs="Arial"/>
          <w:color w:val="000000" w:themeColor="text1"/>
          <w:sz w:val="22"/>
          <w:szCs w:val="22"/>
        </w:rPr>
        <w:t>,</w:t>
      </w:r>
      <w:r w:rsidRPr="00DD3983">
        <w:rPr>
          <w:rFonts w:ascii="Arial" w:hAnsi="Arial" w:cs="Arial"/>
          <w:color w:val="000000" w:themeColor="text1"/>
          <w:sz w:val="22"/>
          <w:szCs w:val="22"/>
        </w:rPr>
        <w:fldChar w:fldCharType="begin"/>
      </w:r>
      <w:r w:rsidR="00025355">
        <w:rPr>
          <w:rFonts w:ascii="Arial" w:hAnsi="Arial" w:cs="Arial"/>
          <w:color w:val="000000" w:themeColor="text1"/>
          <w:sz w:val="22"/>
          <w:szCs w:val="22"/>
        </w:rPr>
        <w:instrText xml:space="preserve"> ADDIN ZOTERO_ITEM CSL_CITATION {"citationID":"4ccm4CPx","properties":{"formattedCitation":"\\super 46,47\\nosupersub{}","plainCitation":"46,47","noteIndex":0},"citationItems":[{"id":"7XVybpWP/BKdmNoUG","uris":["http://zotero.org/users/14808074/items/IIP2M6A3"],"itemData":{"id":996,"type":"article-journal","abstract":"BACKGROUND: Cerebrospinal fluid (CSF) analysis for detecting amyloid positivity may be as reliable as positron emission tomography (PET). We evaluated the performance of the amyloid beta (Aβ)42/40 ratio for predicting amyloid positivity by PET, compared with Aβ42 alone, and phosphorylated tau 181 (pTau181)/Aβ42 and total tau (tTau)/Aβ42 ratios, using fully automated CSF immunoassays (Roche Diagnostics International Ltd, Rotkreuz, Switzerland) in a heterogeneous cohort of patients with a range of cognitive disorders reflecting the typical population of a memory clinic.\nMETHODS: CSF samples from 103 patients with known amyloid PET status (PET positive = 54; PET negative = 49) were retrospectively selected from one site in Germany; 71 patients were undergoing treatment for mild cognitive impairment (n = 44) or mild-to-moderate dementia (n = 27) due to Alzheimer's disease (AD), and 32 patients were undergoing treatment for non-AD-related cognitive disorders. Aβ42, pTau181, and tTau concentrations were measured in CSF samples using the respective Elecsys® CSF immunoassays modified for use on the cobas e 411 analyzer; Aβ40 concentrations were measured using a non-commercially available robust prototype assay. Sensitivities/specificities for amyloid positivity cut-offs (Youden-derived and pre-defined) were calculated, and receiver operating characteristic analyses determined area under the curve (AUC) versus amyloid PET status. Limitations include a small sample size, use of a pre-analytical protocol not in accordance with the Elecsys CSF immunoassay method sheets, and the lack of a pre-defined cut-off for Aβ42/40.\nRESULTS: Point estimates for sensitivity and specificity of CSF biomarkers and biomarker ratios versus amyloid PET were 0.93 and 0.57 for Aβ42, 0.96 and 0.69 for pTau181/Aβ42, 0.92 and 0.69 for tTau/Aβ42, and 0.94 and 0.82 for Aβ42/40. For AUCs, point estimates (95% confidence intervals) versus amyloid PET were 0.78 (0.68-0.88) for Aβ42, 0.88 (0.81-0.95) for pTau181/Aβ42, 0.87 (0.80-0.95) for tTau/Aβ42, and 0.90 (0.83-0.97) for Aβ42/40.\nCONCLUSIONS: CSF Aβ42/40 ratio can predict PET amyloid positivity with high accuracy in patients with a range of cognitive disorders when evaluating Aβ pathology independent of tau and neurodegeneration for research purposes. The performance of Aβ42/40 was comparable with pTau181/Aβ42 and tTau/Aβ42 used in clinical practice and better than Aβ42 alone.","container-title":"Alzheimer's Research &amp; Therapy","DOI":"10.1186/s13195-022-01003-w","ISSN":"1758-9193","issue":"1","journalAbbreviation":"Alzheimers Res Ther","language":"eng","note":"PMID: 35473631\nPMCID: PMC9044878","page":"60","source":"PubMed","title":"The cerebrospinal fluid biomarker ratio Aβ42/40 identifies amyloid positron emission tomography positivity better than Aβ42 alone in a heterogeneous memory clinic cohort","volume":"14","author":[{"family":"Amft","given":"Michaela"},{"family":"Ortner","given":"Marion"},{"family":"Eichenlaub","given":"Udo"},{"family":"Goldhardt","given":"Oliver"},{"family":"Diehl-Schmid","given":"Janine"},{"family":"Hedderich","given":"Dennis M."},{"family":"Yakushev","given":"Igor"},{"family":"Grimmer","given":"Timo"}],"issued":{"date-parts":[["2022",4,26]]}}},{"id":"7XVybpWP/9RnR3Xqf","uris":["http://zotero.org/users/14808074/items/8U37J9XE"],"itemData":{"id":999,"type":"article-journal","abstract":"BACKGROUND AND OBJECTIVES: Phosphorylated tau (p-tau) in CSF is considered an important biomarker in Alzheimer disease (AD) and has been incorporated in recent diagnostic criteria. Several variants exist, including p-tau at threonines 181 (p-tau181), 217 (p-tau217), and 231 (p-tau231). However, no studies have compared their diagnostic performance or association to β-amyloid (Aβ) and tau-PET. Understanding which p-tau variant to use remains an important yet answered question. We aimed to compare the diagnostic accuracy of p-tau181, p-tau217, and p-tau231 in CSF for AD and their association with Aβ and tau-PET.\nMETHODS: A total of 629 participants in the Swedish BioFINDER-2 study were included (cognitively unimpaired, n = 334; Aβ-positive mild cognitive impairment, n = 84; AD dementia, n = 119; and non-AD disorders, n = 92). In addition to p-tau181 and p-tau217 measured using assays with the same detector antibodies from Eli Lilly (p-tau181Lilly, p-tau217Lilly) and p-tau231, we also included p-tau181 measurements from 2 commonly used assays (Innotest and Elecsys).\nRESULTS: Although all p-tau variants increased across the AD continuum, p-tau217Lilly showed the greatest dynamic range (13-fold increase vs 1.9-5.4-fold increase for other p-tau variants for AD dementia vs non-AD). P-Tau217Lilly showed stronger correlations with Aβ- and tau-PET (p &lt; 0.0001). P-Tau217Lilly exhibited higher accuracy than other p-tau variants for separating AD dementia from non-AD (area under the curve [AUC], 0.98 vs 0.88 [p &lt; 0.0001] - 0.96 [p &lt; 0.05]) and for identifying Aβ-PET (AUC, 0.86 vs 0.74 [p &lt; 0.0001] and 0.83 [p &lt; 0.001]) and tau-PET positivity (AUC, 0.94 vs 0.80-0.92, p &lt; 0.0001). Finally, p-Tau181Lilly generally performed better than the other p-tau181 assays (e.g., AD dementia vs non-AD, AUC, 0.96 vs 0.88 [p-tau181Innotest] and 0.89 [p-tau181Elecsys]; p &lt; 0.0001).\nDISCUSSION: CSF p-tau217Lilly seems to be more useful than other included p-tau assays in the workup of AD. Varied results across p-tau181 assays highlights the importance of anti-tau antibodies for biomarker performance.\nCLASSIFICATION OF EVIDENCE: This study provides Class II evidence that p-tau217 provides higher diagnostic accuracy for diagnosis of AD dementia than p-tau181 or p-tau231.","container-title":"Neurology","DOI":"10.1212/WNL.0000000000012727","ISSN":"1526-632X","issue":"17","journalAbbreviation":"Neurology","language":"eng","note":"PMID: 34493616\nPMCID: PMC8605616","page":"e1681-e1694","source":"PubMed","title":"Comparing the Clinical Utility and Diagnostic Performance of CSF P-Tau181, P-Tau217, and P-Tau231 Assays","volume":"97","author":[{"family":"Leuzy","given":"Antoine"},{"family":"Janelidze","given":"Shorena"},{"family":"Mattsson-Carlgren","given":"Niklas"},{"family":"Palmqvist","given":"Sebastian"},{"family":"Jacobs","given":"Dirk"},{"family":"Cicognola","given":"Claudia"},{"family":"Stomrud","given":"Erik"},{"family":"Vanmechelen","given":"Eugeen"},{"family":"Dage","given":"Jeffrey L."},{"family":"Hansson","given":"Oskar"}],"issued":{"date-parts":[["2021",10,26]]}}}],"schema":"https://github.com/citation-style-language/schema/raw/master/csl-citation.json"} </w:instrText>
      </w:r>
      <w:r w:rsidRPr="00DD3983">
        <w:rPr>
          <w:rFonts w:ascii="Arial" w:hAnsi="Arial" w:cs="Arial"/>
          <w:color w:val="000000" w:themeColor="text1"/>
          <w:sz w:val="22"/>
          <w:szCs w:val="22"/>
        </w:rPr>
        <w:fldChar w:fldCharType="separate"/>
      </w:r>
      <w:r w:rsidRPr="00025355" w:rsidR="00025355">
        <w:rPr>
          <w:rFonts w:ascii="Arial" w:hAnsi="Arial" w:cs="Arial"/>
          <w:sz w:val="22"/>
          <w:vertAlign w:val="superscript"/>
        </w:rPr>
        <w:t>46,47</w:t>
      </w:r>
      <w:r w:rsidRPr="00DD3983">
        <w:rPr>
          <w:rFonts w:ascii="Arial" w:hAnsi="Arial" w:cs="Arial"/>
          <w:color w:val="000000" w:themeColor="text1"/>
          <w:sz w:val="22"/>
          <w:szCs w:val="22"/>
        </w:rPr>
        <w:fldChar w:fldCharType="end"/>
      </w:r>
      <w:r w:rsidRPr="00DD3983">
        <w:rPr>
          <w:rFonts w:ascii="Arial" w:hAnsi="Arial" w:cs="Arial"/>
          <w:color w:val="000000" w:themeColor="text1"/>
          <w:sz w:val="22"/>
          <w:szCs w:val="22"/>
        </w:rPr>
        <w:t xml:space="preserve"> as well as the absence of standardized diagnostic cut-offs</w:t>
      </w:r>
      <w:r w:rsidR="008021A3">
        <w:rPr>
          <w:rFonts w:ascii="Arial" w:hAnsi="Arial" w:cs="Arial"/>
          <w:color w:val="000000" w:themeColor="text1"/>
          <w:sz w:val="22"/>
          <w:szCs w:val="22"/>
        </w:rPr>
        <w:t>.</w:t>
      </w:r>
      <w:r w:rsidRPr="00DD3983">
        <w:rPr>
          <w:rFonts w:ascii="Arial" w:hAnsi="Arial" w:cs="Arial"/>
          <w:color w:val="000000" w:themeColor="text1"/>
          <w:sz w:val="22"/>
          <w:szCs w:val="22"/>
        </w:rPr>
        <w:fldChar w:fldCharType="begin"/>
      </w:r>
      <w:r w:rsidR="00025355">
        <w:rPr>
          <w:rFonts w:ascii="Arial" w:hAnsi="Arial" w:cs="Arial"/>
          <w:color w:val="000000" w:themeColor="text1"/>
          <w:sz w:val="22"/>
          <w:szCs w:val="22"/>
        </w:rPr>
        <w:instrText xml:space="preserve"> ADDIN ZOTERO_ITEM CSL_CITATION {"citationID":"NFYMLpPG","properties":{"formattedCitation":"\\super 30,46\\nosupersub{}","plainCitation":"30,46","noteIndex":0},"citationItems":[{"id":"7XVybpWP/BKdmNoUG","uris":["http://zotero.org/users/14808074/items/IIP2M6A3"],"itemData":{"id":996,"type":"article-journal","abstract":"BACKGROUND: Cerebrospinal fluid (CSF) analysis for detecting amyloid positivity may be as reliable as positron emission tomography (PET). We evaluated the performance of the amyloid beta (Aβ)42/40 ratio for predicting amyloid positivity by PET, compared with Aβ42 alone, and phosphorylated tau 181 (pTau181)/Aβ42 and total tau (tTau)/Aβ42 ratios, using fully automated CSF immunoassays (Roche Diagnostics International Ltd, Rotkreuz, Switzerland) in a heterogeneous cohort of patients with a range of cognitive disorders reflecting the typical population of a memory clinic.\nMETHODS: CSF samples from 103 patients with known amyloid PET status (PET positive = 54; PET negative = 49) were retrospectively selected from one site in Germany; 71 patients were undergoing treatment for mild cognitive impairment (n = 44) or mild-to-moderate dementia (n = 27) due to Alzheimer's disease (AD), and 32 patients were undergoing treatment for non-AD-related cognitive disorders. Aβ42, pTau181, and tTau concentrations were measured in CSF samples using the respective Elecsys® CSF immunoassays modified for use on the cobas e 411 analyzer; Aβ40 concentrations were measured using a non-commercially available robust prototype assay. Sensitivities/specificities for amyloid positivity cut-offs (Youden-derived and pre-defined) were calculated, and receiver operating characteristic analyses determined area under the curve (AUC) versus amyloid PET status. Limitations include a small sample size, use of a pre-analytical protocol not in accordance with the Elecsys CSF immunoassay method sheets, and the lack of a pre-defined cut-off for Aβ42/40.\nRESULTS: Point estimates for sensitivity and specificity of CSF biomarkers and biomarker ratios versus amyloid PET were 0.93 and 0.57 for Aβ42, 0.96 and 0.69 for pTau181/Aβ42, 0.92 and 0.69 for tTau/Aβ42, and 0.94 and 0.82 for Aβ42/40. For AUCs, point estimates (95% confidence intervals) versus amyloid PET were 0.78 (0.68-0.88) for Aβ42, 0.88 (0.81-0.95) for pTau181/Aβ42, 0.87 (0.80-0.95) for tTau/Aβ42, and 0.90 (0.83-0.97) for Aβ42/40.\nCONCLUSIONS: CSF Aβ42/40 ratio can predict PET amyloid positivity with high accuracy in patients with a range of cognitive disorders when evaluating Aβ pathology independent of tau and neurodegeneration for research purposes. The performance of Aβ42/40 was comparable with pTau181/Aβ42 and tTau/Aβ42 used in clinical practice and better than Aβ42 alone.","container-title":"Alzheimer's Research &amp; Therapy","DOI":"10.1186/s13195-022-01003-w","ISSN":"1758-9193","issue":"1","journalAbbreviation":"Alzheimers Res Ther","language":"eng","note":"PMID: 35473631\nPMCID: PMC9044878","page":"60","source":"PubMed","title":"The cerebrospinal fluid biomarker ratio Aβ42/40 identifies amyloid positron emission tomography positivity better than Aβ42 alone in a heterogeneous memory clinic cohort","volume":"14","author":[{"family":"Amft","given":"Michaela"},{"family":"Ortner","given":"Marion"},{"family":"Eichenlaub","given":"Udo"},{"family":"Goldhardt","given":"Oliver"},{"family":"Diehl-Schmid","given":"Janine"},{"family":"Hedderich","given":"Dennis M."},{"family":"Yakushev","given":"Igor"},{"family":"Grimmer","given":"Timo"}],"issued":{"date-parts":[["2022",4,26]]}}},{"id":"7XVybpWP/GxY3UDA6","uris":["http://zotero.org/users/14808074/items/DTFA74ME"],"itemData":{"id":1002,"type":"article-journal","abstract":"Biomarker testing is recommended for the accurate and timely diagnosis of Alzheimer's disease (AD). Using illustrative case narratives we consider how cerebrospinal fluid (CSF) biomarker tests may be used in different presentations of cognitive impairment to facilitate timely and differential diagnosis, improving diagnostic accuracy, providing prognostic information, and guiding personalized management in diverse scenarios. Evidence shows that (1) CSF ratios are superior to amyloid beta (Aβ)1-42 alone; (2) concordance of CSF ratios to amyloid positron emission tomography (PET) is better than Aβ1-42 alone; and (3) phosphorylated tau (p-tau)/Aβ1-42 ratio is superior to p-tau alone. CSF biomarkers are recommended for the exclusion of AD as the underlying cause of cognitive impairment, diagnosis of AD at an early stage, differential diagnosis of AD in individuals presenting with other neuropsychiatric symptoms, accurate diagnosis of AD in an atypical presentation, and for clinical trial enrichment. Highlights Cerebrospinal fluid (CSF) Alzheimer's disease (AD) biomarker testing may be underused outside specialist centers. CSF biomarkers improve diagnostic accuracy, guiding personalized management of AD. CSF ratios (amyloid beta [Aβ]1-42/Aβ1-40 and phosphorylated tau/Aβ1-42) perform better than single markers. CSF ratios produce fewer false-negative and false-positive results than individual markers. CSF biomarkers should be included in diagnostic work-up of AD and mild cognitive impairment due to AD.","container-title":"Alzheimer's &amp; Dementia: Diagnosis, Assessment &amp; Disease Monitoring","DOI":"10.1002/dad2.12314","ISSN":"2352-8729","issue":"1","language":"en","license":"© 2022 The Authors. Alzheimer's &amp; Dementia: Diagnosis, Assessment &amp; Disease Monitoring published by Wiley Periodicals, LLC on behalf of Alzheimer's Association","note":"_eprint: https://onlinelibrary.wiley.com/doi/pdf/10.1002/dad2.12314","page":"e12314","source":"Wiley Online Library","title":"Clinical application of CSF biomarkers for Alzheimer's disease: From rationale to ratios","title-short":"Clinical application of CSF biomarkers for Alzheimer's disease","volume":"14","author":[{"family":"Bouwman","given":"Femke H."},{"family":"Frisoni","given":"Giovanni B."},{"family":"Johnson","given":"Sterling C."},{"family":"Chen","given":"Xiaochun"},{"family":"Engelborghs","given":"Sebastiaan"},{"family":"Ikeuchi","given":"Takeshi"},{"family":"Paquet","given":"Claire"},{"family":"Ritchie","given":"Craig"},{"family":"Bozeat","given":"Sasha"},{"family":"Quevenco","given":"Frances-Catherine"},{"family":"Teunissen","given":"Charlotte"}],"issued":{"date-parts":[["2022"]]}}}],"schema":"https://github.com/citation-style-language/schema/raw/master/csl-citation.json"} </w:instrText>
      </w:r>
      <w:r w:rsidRPr="00DD3983">
        <w:rPr>
          <w:rFonts w:ascii="Arial" w:hAnsi="Arial" w:cs="Arial"/>
          <w:color w:val="000000" w:themeColor="text1"/>
          <w:sz w:val="22"/>
          <w:szCs w:val="22"/>
        </w:rPr>
        <w:fldChar w:fldCharType="separate"/>
      </w:r>
      <w:r w:rsidRPr="00025355" w:rsidR="00025355">
        <w:rPr>
          <w:rFonts w:ascii="Arial" w:hAnsi="Arial" w:cs="Arial"/>
          <w:sz w:val="22"/>
          <w:vertAlign w:val="superscript"/>
        </w:rPr>
        <w:t>30,46</w:t>
      </w:r>
      <w:r w:rsidRPr="00DD3983">
        <w:rPr>
          <w:rFonts w:ascii="Arial" w:hAnsi="Arial" w:cs="Arial"/>
          <w:color w:val="000000" w:themeColor="text1"/>
          <w:sz w:val="22"/>
          <w:szCs w:val="22"/>
        </w:rPr>
        <w:fldChar w:fldCharType="end"/>
      </w:r>
      <w:r w:rsidRPr="00DD3983">
        <w:rPr>
          <w:rFonts w:ascii="Arial" w:hAnsi="Arial" w:cs="Arial"/>
          <w:color w:val="000000" w:themeColor="text1"/>
          <w:sz w:val="22"/>
          <w:szCs w:val="22"/>
        </w:rPr>
        <w:t xml:space="preserve"> </w:t>
      </w:r>
      <w:r w:rsidRPr="00DD3983" w:rsidR="00EA1D1A">
        <w:rPr>
          <w:rFonts w:ascii="Arial" w:hAnsi="Arial" w:cs="Arial"/>
          <w:color w:val="000000" w:themeColor="text1"/>
          <w:sz w:val="22"/>
          <w:szCs w:val="22"/>
        </w:rPr>
        <w:t xml:space="preserve">Similarly, blood-based biomarkers are measured using different technologies, such as immunoassays </w:t>
      </w:r>
      <w:r w:rsidRPr="00DD3983" w:rsidR="00EA1D1A">
        <w:rPr>
          <w:rFonts w:ascii="Arial" w:hAnsi="Arial" w:cs="Arial"/>
          <w:sz w:val="22"/>
          <w:szCs w:val="22"/>
        </w:rPr>
        <w:t>and mass spectrometry, each yielding different results, which makes clinical implementation difficult</w:t>
      </w:r>
      <w:r w:rsidR="00C01756">
        <w:rPr>
          <w:rFonts w:ascii="Arial" w:hAnsi="Arial" w:cs="Arial"/>
          <w:sz w:val="22"/>
          <w:szCs w:val="22"/>
        </w:rPr>
        <w:t>.</w:t>
      </w:r>
      <w:r w:rsidRPr="00DD3983" w:rsidR="006E6927">
        <w:rPr>
          <w:rFonts w:ascii="Arial" w:hAnsi="Arial" w:cs="Arial"/>
          <w:sz w:val="22"/>
          <w:szCs w:val="22"/>
        </w:rPr>
        <w:fldChar w:fldCharType="begin"/>
      </w:r>
      <w:r w:rsidR="00025355">
        <w:rPr>
          <w:rFonts w:ascii="Arial" w:hAnsi="Arial" w:cs="Arial"/>
          <w:sz w:val="22"/>
          <w:szCs w:val="22"/>
        </w:rPr>
        <w:instrText xml:space="preserve"> ADDIN ZOTERO_ITEM CSL_CITATION {"citationID":"0xrSpi2r","properties":{"formattedCitation":"\\super 48\\nosupersub{}","plainCitation":"48","noteIndex":0},"citationItems":[{"id":"7XVybpWP/xCu5OTAT","uris":["http://zotero.org/users/14808074/items/L38CGXCH"],"itemData":{"id":1016,"type":"article-journal","abstract":"OBJECTIVE: To examine the diagnostic accuracy of blood-based biomarkers for detecting Alzheimer's disease (AD) and amnestic mild cognitive impairment (aMCI).\nMETHODS: Seven electronic databases were comprehensively searched for studies evaluating the diagnostic accuracy of blood-based biomarkers for detecting AD or aMCI up to July 31, 2020. The pooled sensitivity, specificity, and the diagnostic odds ratio (DOR) were calculated using a hierarchical summary receiver operating characteristic model.\nRESULTS: A total of 17 studies (n = 2,083) were included. In differentiating patients with AD from the controls, the DOR was 32.2 for the plasma Aβ42 (sensitivity = 88 %, specificity = 81 %), 29.1 for the plasma Aβ oligomer (sensitivity = 80 %, specificity = 88 %), and 52.1 for the plasma tau (sensitivity = 90 %, specificity = 87 %). For differentiating aMCI from the controls, the DOR was 60.4 for the plasma Aβ42 (sensitivity = 86 %, specificity = 90 %) and 49.1 for the plasma tau (sensitivity = 79 %, specificity = 94 %). The use of ultra-high sensitive technology explained the heterogeneity in the diagnostic performance of blood-based biomarkers (P =  .01).\nCONCLUSIONS: We suggest that blood-based biomarkers are minimally invasive and cost-effective tools for detecting AD; however, the evidence for detecting aMCI was still limited.","container-title":"Ageing Research Reviews","DOI":"10.1016/j.arr.2021.101446","ISSN":"1872-9649","journalAbbreviation":"Ageing Res Rev","language":"eng","note":"PMID: 34391944","page":"101446","source":"PubMed","title":"Diagnostic accuracy of blood biomarkers for Alzheimer's disease and amnestic mild cognitive impairment: A meta-analysis","title-short":"Diagnostic accuracy of blood biomarkers for Alzheimer's disease and amnestic mild cognitive impairment","volume":"71","author":[{"family":"Chen","given":"Ying-Ren"},{"family":"Liang","given":"Chih-Sung"},{"family":"Chu","given":"Hsin"},{"family":"Voss","given":"Joachim"},{"family":"Kang","given":"Xiao Linda"},{"family":"O'Connell","given":"Grant"},{"family":"Jen","given":"Hsiu-Ju"},{"family":"Liu","given":"Doresses"},{"family":"Shen Hsiao","given":"Shu-Tai"},{"family":"Chou","given":"Kuei-Ru"}],"issued":{"date-parts":[["2021",11]]}}}],"schema":"https://github.com/citation-style-language/schema/raw/master/csl-citation.json"} </w:instrText>
      </w:r>
      <w:r w:rsidRPr="00DD3983" w:rsidR="006E6927">
        <w:rPr>
          <w:rFonts w:ascii="Arial" w:hAnsi="Arial" w:cs="Arial"/>
          <w:sz w:val="22"/>
          <w:szCs w:val="22"/>
        </w:rPr>
        <w:fldChar w:fldCharType="separate"/>
      </w:r>
      <w:r w:rsidRPr="00025355" w:rsidR="00025355">
        <w:rPr>
          <w:rFonts w:ascii="Arial" w:hAnsi="Arial" w:cs="Arial"/>
          <w:sz w:val="22"/>
          <w:vertAlign w:val="superscript"/>
        </w:rPr>
        <w:t>48</w:t>
      </w:r>
      <w:r w:rsidRPr="00DD3983" w:rsidR="006E6927">
        <w:rPr>
          <w:rFonts w:ascii="Arial" w:hAnsi="Arial" w:cs="Arial"/>
          <w:sz w:val="22"/>
          <w:szCs w:val="22"/>
        </w:rPr>
        <w:fldChar w:fldCharType="end"/>
      </w:r>
      <w:r w:rsidRPr="00DD3983" w:rsidR="006E6927">
        <w:rPr>
          <w:rFonts w:ascii="Arial" w:hAnsi="Arial" w:cs="Arial"/>
          <w:sz w:val="22"/>
          <w:szCs w:val="22"/>
        </w:rPr>
        <w:t xml:space="preserve"> </w:t>
      </w:r>
      <w:r w:rsidRPr="00DD3983" w:rsidR="00B459E0">
        <w:rPr>
          <w:rFonts w:ascii="Arial" w:hAnsi="Arial" w:cs="Arial"/>
          <w:sz w:val="22"/>
          <w:szCs w:val="22"/>
        </w:rPr>
        <w:t>Neuroimaging techniques also suffer from a lack of uniform diagnostic criteria, reducing the reproducibility of findings and limiting their reliability in clinical settings</w:t>
      </w:r>
      <w:r w:rsidR="00C01756">
        <w:rPr>
          <w:rFonts w:ascii="Arial" w:hAnsi="Arial" w:cs="Arial"/>
          <w:sz w:val="22"/>
          <w:szCs w:val="22"/>
        </w:rPr>
        <w:t>.</w:t>
      </w:r>
      <w:r w:rsidRPr="00DD3983" w:rsidR="00BC1400">
        <w:rPr>
          <w:rFonts w:ascii="Arial" w:hAnsi="Arial" w:cs="Arial"/>
          <w:sz w:val="22"/>
          <w:szCs w:val="22"/>
        </w:rPr>
        <w:fldChar w:fldCharType="begin"/>
      </w:r>
      <w:r w:rsidR="00025355">
        <w:rPr>
          <w:rFonts w:ascii="Arial" w:hAnsi="Arial" w:cs="Arial"/>
          <w:sz w:val="22"/>
          <w:szCs w:val="22"/>
        </w:rPr>
        <w:instrText xml:space="preserve"> ADDIN ZOTERO_ITEM CSL_CITATION {"citationID":"KZTU583z","properties":{"formattedCitation":"\\super 34,41,49\\nosupersub{}","plainCitation":"34,41,49","noteIndex":0},"citationItems":[{"id":"7XVybpWP/DXK7n6Uz","uris":["http://zotero.org/users/14808074/items/93S5KP4M"],"itemData":{"id":956,"type":"article-journal","abstract":"Alzheimer's disease (AD) is a neurodegenerative disease causing progressive cognitive decline until eventual death. AD affects millions of individuals worldwide in the absence of effective treatment options, and its clinical causes are still uncertain. The onset of dementia symptoms indicates severe neurodegeneration has already taken place. Therefore, AD diagnosis at an early stage is essential as it results in more effective therapy to slow its progression. The current clinical diagnosis of AD relies on mental examinations and brain imaging to determine whether patients meet diagnostic criteria, and biomedical research focuses on finding associated biomarkers by using neuroimaging techniques. Multiple clinical brain imaging modalities emerged as potential techniques to study AD, showing a range of capacity in their preciseness to identify the disease. This review presents the advantages and limitations of brain imaging modalities for AD diagnosis and discusses their clinical value.","container-title":"International Journal of Molecular Sciences","DOI":"10.3390/ijms23116079","ISSN":"1422-0067","issue":"11","journalAbbreviation":"Int J Mol Sci","language":"eng","note":"PMID: 35682758\nPMCID: PMC9181385","page":"6079","source":"PubMed","title":"Neuroimaging Modalities in Alzheimer's Disease: Diagnosis and Clinical Features","title-short":"Neuroimaging Modalities in Alzheimer's Disease","volume":"23","author":[{"family":"Kim","given":"JunHyun"},{"family":"Jeong","given":"Minhong"},{"family":"Stiles","given":"Wesley R."},{"family":"Choi","given":"Hak Soo"}],"issued":{"date-parts":[["2022",5,28]]}}},{"id":"7XVybpWP/H0pmsFcp","uris":["http://zotero.org/users/14808074/items/ZAXCMCNA"],"itemData":{"id":959,"type":"article-journal","abstract":"Background Structural magnetic resonance imaging (sMRI) can provide morphological information about the structure and function of the brain in the same scanning process. It has been widely used in the diagnosis of Alzheimer's disease (AD) and mild cognitive impairment (MCI). Purpose To capture the anatomical changes in the brain caused by AD/MCI, deep learning-based MRI image analysis methods have been proposed in recent years. However, it is observed that the performance of most existing methods is limited as they only construct a single type of deep network and ignore the significance of other clinical information. Methods To make up for these defects, an ensemble framework that incorporates three types of dedicatedly-designed convolutional neural networks (CNNs) and a multilayer perceptron (MLP) network is proposed, where three CNNs with entropy-based multi-instance learning pooling layers have more reliable feature selection abilities. The dedicatedly-designed base classifiers can make use of the heterogeneous data, and empower the framework with enhanced diversity and robustness. In particular, to consider the interactions among the base classifiers, a novel multi-head self-attention voting scheme is designed. Moreover, considering the chance that MCI can be transformed to AD, the proposed framework is designed to diagnose AD and predict MCI conversion simultaneously, with the aid of the transfer learning technique. Results For performance evaluation and comparison, extensive experiments are conducted on the public dataset of the Alzheimer's Disease Neuroimaging Initiative (ADNI). The results show that the proposed ensemble framework provides superior performance under most of the evaluation metrics. Especially, the proposed framework achieves state-of-the-art diagnostic accuracy (98.61% for the AD diagnosis task, and 84.49% for the MCI conversion prediction task). Conclusions These promising results demonstrate the proposed ensemble framework can accurately diagnose AD patients and predict the conversion of MCI patients, which has the potential of clinical practice for diagnosing AD and MCI.","container-title":"Medical Physics","DOI":"10.1002/mp.15985","ISSN":"2473-4209","issue":"1","language":"en","license":"© 2022 American Association of Physicists in Medicine.","note":"_eprint: https://onlinelibrary.wiley.com/doi/pdf/10.1002/mp.15985","page":"209-225","source":"Wiley Online Library","title":"Ensemble of convolutional neural networks and multilayer perceptron for the diagnosis of mild cognitive impairment and Alzheimer's disease","volume":"50","author":[{"family":"Li","given":"Minglei"},{"family":"Jiang","given":"Yuchen"},{"family":"Li","given":"Xiang"},{"family":"Yin","given":"Shen"},{"family":"Luo","given":"Hao"}],"issued":{"date-parts":[["2023"]]}}},{"id":"7XVybpWP/tUhQZ36H","uris":["http://zotero.org/users/14808074/items/I5UDKSQZ"],"itemData":{"id":949,"type":"article-journal","abstract":"PET based tools can improve the early diagnosis of Alzheimer's disease (AD) and differential diagnosis of dementia. The importance of identifying individuals at risk of developing dementia among people with subjective cognitive complaints or mild cognitive impairment has clinical, social, and therapeutic implications. Within the two major classes of AD biomarkers currently identified, that is, markers of pathology and neurodegeneration, amyloid- and FDG-PET imaging represent decisive tools for their measurement. As a consequence, the PET tools have been recognized to be of crucial value in the recent guidelines for the early diagnosis of AD and other dementia conditions. The references based recommendations, however, include large PET imaging literature based on visual methods that greatly reduces sensitivity and specificity and lacks a clear cut-off between normal and pathological findings. PET imaging can be assessed using parametric or voxel-wise analyses by comparing the subject's scan with a normative data set, significantly increasing the diagnostic accuracy. This paper is a survey of the relevant literature on FDG and amyloid-PET imaging aimed at providing the value of quantification for the early and differential diagnosis of AD. This allowed a meta-analysis and GRADE analysis revealing high values for PET imaging that might be useful in considering recommendations.","container-title":"BioMed Research International","DOI":"10.1155/2014/785039","ISSN":"2314-6141","journalAbbreviation":"Biomed Res Int","language":"eng","note":"PMID: 24772437\nPMCID: PMC3977528","page":"785039","source":"PubMed","title":"A survey of FDG- and amyloid-PET imaging in dementia and GRADE analysis","volume":"2014","author":[{"family":"Perani","given":"Daniela"},{"family":"Schillaci","given":"Orazio"},{"family":"Padovani","given":"Alessandro"},{"family":"Nobili","given":"Flavio Mariano"},{"family":"Iaccarino","given":"Leonardo"},{"family":"Della Rosa","given":"Pasquale Anthony"},{"family":"Frisoni","given":"Giovanni"},{"family":"Caltagirone","given":"Carlo"}],"issued":{"date-parts":[["2014"]]}}}],"schema":"https://github.com/citation-style-language/schema/raw/master/csl-citation.json"} </w:instrText>
      </w:r>
      <w:r w:rsidRPr="00DD3983" w:rsidR="00BC1400">
        <w:rPr>
          <w:rFonts w:ascii="Arial" w:hAnsi="Arial" w:cs="Arial"/>
          <w:sz w:val="22"/>
          <w:szCs w:val="22"/>
        </w:rPr>
        <w:fldChar w:fldCharType="separate"/>
      </w:r>
      <w:r w:rsidRPr="00025355" w:rsidR="00025355">
        <w:rPr>
          <w:rFonts w:ascii="Arial" w:hAnsi="Arial" w:cs="Arial"/>
          <w:sz w:val="22"/>
          <w:vertAlign w:val="superscript"/>
        </w:rPr>
        <w:t>34,41,49</w:t>
      </w:r>
      <w:r w:rsidRPr="00DD3983" w:rsidR="00BC1400">
        <w:rPr>
          <w:rFonts w:ascii="Arial" w:hAnsi="Arial" w:cs="Arial"/>
          <w:sz w:val="22"/>
          <w:szCs w:val="22"/>
        </w:rPr>
        <w:fldChar w:fldCharType="end"/>
      </w:r>
    </w:p>
    <w:p w:rsidR="00F6306A" w:rsidP="00680402" w:rsidRDefault="00F6306A" w14:paraId="00A6CF1C" w14:textId="77777777">
      <w:pPr>
        <w:pStyle w:val="Heading3"/>
        <w:spacing w:before="0" w:after="0"/>
        <w:rPr>
          <w:i w:val="0"/>
        </w:rPr>
      </w:pPr>
    </w:p>
    <w:p w:rsidRPr="00595CC0" w:rsidR="00046A70" w:rsidP="00680402" w:rsidRDefault="00046A70" w14:paraId="0F13F4BF" w14:textId="6D3AB7B7">
      <w:pPr>
        <w:pStyle w:val="Heading3"/>
        <w:spacing w:before="0" w:after="0"/>
        <w:rPr>
          <w:rFonts w:cs="Arial"/>
          <w:iCs/>
          <w:sz w:val="22"/>
          <w:szCs w:val="22"/>
        </w:rPr>
      </w:pPr>
      <w:r w:rsidRPr="00595CC0">
        <w:rPr>
          <w:iCs/>
        </w:rPr>
        <w:t xml:space="preserve">Inconsistencies in </w:t>
      </w:r>
      <w:r w:rsidRPr="00595CC0" w:rsidR="002B52DE">
        <w:rPr>
          <w:rFonts w:cs="Arial"/>
          <w:iCs/>
          <w:sz w:val="22"/>
          <w:szCs w:val="22"/>
        </w:rPr>
        <w:t>Accuracy</w:t>
      </w:r>
    </w:p>
    <w:p w:rsidR="001455EA" w:rsidP="00680402" w:rsidRDefault="00A81831" w14:paraId="7D5E7CCB" w14:textId="6DB60685">
      <w:pPr>
        <w:pStyle w:val="NormalWeb"/>
        <w:spacing w:before="0" w:beforeAutospacing="0" w:after="0" w:afterAutospacing="0"/>
        <w:jc w:val="both"/>
        <w:rPr>
          <w:rFonts w:ascii="Arial" w:hAnsi="Arial" w:cs="Arial"/>
          <w:sz w:val="22"/>
          <w:szCs w:val="22"/>
        </w:rPr>
      </w:pPr>
      <w:r w:rsidRPr="00DD3983">
        <w:rPr>
          <w:rFonts w:ascii="Arial" w:hAnsi="Arial" w:cs="Arial"/>
          <w:sz w:val="22"/>
          <w:szCs w:val="22"/>
        </w:rPr>
        <w:t xml:space="preserve">Although many diagnostic tools show potential, accuracy remains a challenge. </w:t>
      </w:r>
      <w:r w:rsidRPr="00DD3983" w:rsidR="006C2046">
        <w:rPr>
          <w:rFonts w:ascii="Arial" w:hAnsi="Arial" w:cs="Arial"/>
          <w:sz w:val="22"/>
          <w:szCs w:val="22"/>
        </w:rPr>
        <w:t>Blood</w:t>
      </w:r>
      <w:r w:rsidRPr="00DD3983" w:rsidR="00B63E01">
        <w:rPr>
          <w:rFonts w:ascii="Arial" w:hAnsi="Arial" w:cs="Arial"/>
          <w:sz w:val="22"/>
          <w:szCs w:val="22"/>
        </w:rPr>
        <w:t>-based</w:t>
      </w:r>
      <w:r w:rsidRPr="00DD3983" w:rsidR="006C2046">
        <w:rPr>
          <w:rFonts w:ascii="Arial" w:hAnsi="Arial" w:cs="Arial"/>
          <w:sz w:val="22"/>
          <w:szCs w:val="22"/>
        </w:rPr>
        <w:t xml:space="preserve"> biomarkers, such as the plasma Aβ42/40 ratio, have moderate sensitivity (76%) and specificity (72%), making them less reliable for distinguishing Alzheimer’s from other dementias</w:t>
      </w:r>
      <w:r w:rsidR="00C01756">
        <w:rPr>
          <w:rFonts w:ascii="Arial" w:hAnsi="Arial" w:cs="Arial"/>
          <w:sz w:val="22"/>
          <w:szCs w:val="22"/>
        </w:rPr>
        <w:t>.</w:t>
      </w:r>
      <w:r w:rsidRPr="00DD3983" w:rsidR="00CF6A6C">
        <w:rPr>
          <w:rFonts w:ascii="Arial" w:hAnsi="Arial" w:cs="Arial"/>
          <w:sz w:val="22"/>
          <w:szCs w:val="22"/>
        </w:rPr>
        <w:fldChar w:fldCharType="begin"/>
      </w:r>
      <w:r w:rsidR="00025355">
        <w:rPr>
          <w:rFonts w:ascii="Arial" w:hAnsi="Arial" w:cs="Arial"/>
          <w:sz w:val="22"/>
          <w:szCs w:val="22"/>
        </w:rPr>
        <w:instrText xml:space="preserve"> ADDIN ZOTERO_ITEM CSL_CITATION {"citationID":"0kh1ct6W","properties":{"formattedCitation":"\\super 48\\nosupersub{}","plainCitation":"48","noteIndex":0},"citationItems":[{"id":"7XVybpWP/xCu5OTAT","uris":["http://zotero.org/users/14808074/items/L38CGXCH"],"itemData":{"id":1016,"type":"article-journal","abstract":"OBJECTIVE: To examine the diagnostic accuracy of blood-based biomarkers for detecting Alzheimer's disease (AD) and amnestic mild cognitive impairment (aMCI).\nMETHODS: Seven electronic databases were comprehensively searched for studies evaluating the diagnostic accuracy of blood-based biomarkers for detecting AD or aMCI up to July 31, 2020. The pooled sensitivity, specificity, and the diagnostic odds ratio (DOR) were calculated using a hierarchical summary receiver operating characteristic model.\nRESULTS: A total of 17 studies (n = 2,083) were included. In differentiating patients with AD from the controls, the DOR was 32.2 for the plasma Aβ42 (sensitivity = 88 %, specificity = 81 %), 29.1 for the plasma Aβ oligomer (sensitivity = 80 %, specificity = 88 %), and 52.1 for the plasma tau (sensitivity = 90 %, specificity = 87 %). For differentiating aMCI from the controls, the DOR was 60.4 for the plasma Aβ42 (sensitivity = 86 %, specificity = 90 %) and 49.1 for the plasma tau (sensitivity = 79 %, specificity = 94 %). The use of ultra-high sensitive technology explained the heterogeneity in the diagnostic performance of blood-based biomarkers (P =  .01).\nCONCLUSIONS: We suggest that blood-based biomarkers are minimally invasive and cost-effective tools for detecting AD; however, the evidence for detecting aMCI was still limited.","container-title":"Ageing Research Reviews","DOI":"10.1016/j.arr.2021.101446","ISSN":"1872-9649","journalAbbreviation":"Ageing Res Rev","language":"eng","note":"PMID: 34391944","page":"101446","source":"PubMed","title":"Diagnostic accuracy of blood biomarkers for Alzheimer's disease and amnestic mild cognitive impairment: A meta-analysis","title-short":"Diagnostic accuracy of blood biomarkers for Alzheimer's disease and amnestic mild cognitive impairment","volume":"71","author":[{"family":"Chen","given":"Ying-Ren"},{"family":"Liang","given":"Chih-Sung"},{"family":"Chu","given":"Hsin"},{"family":"Voss","given":"Joachim"},{"family":"Kang","given":"Xiao Linda"},{"family":"O'Connell","given":"Grant"},{"family":"Jen","given":"Hsiu-Ju"},{"family":"Liu","given":"Doresses"},{"family":"Shen Hsiao","given":"Shu-Tai"},{"family":"Chou","given":"Kuei-Ru"}],"issued":{"date-parts":[["2021",11]]}}}],"schema":"https://github.com/citation-style-language/schema/raw/master/csl-citation.json"} </w:instrText>
      </w:r>
      <w:r w:rsidRPr="00DD3983" w:rsidR="00CF6A6C">
        <w:rPr>
          <w:rFonts w:ascii="Arial" w:hAnsi="Arial" w:cs="Arial"/>
          <w:sz w:val="22"/>
          <w:szCs w:val="22"/>
        </w:rPr>
        <w:fldChar w:fldCharType="separate"/>
      </w:r>
      <w:r w:rsidRPr="00025355" w:rsidR="00025355">
        <w:rPr>
          <w:rFonts w:ascii="Arial" w:hAnsi="Arial" w:cs="Arial"/>
          <w:sz w:val="22"/>
          <w:vertAlign w:val="superscript"/>
        </w:rPr>
        <w:t>48</w:t>
      </w:r>
      <w:r w:rsidRPr="00DD3983" w:rsidR="00CF6A6C">
        <w:rPr>
          <w:rFonts w:ascii="Arial" w:hAnsi="Arial" w:cs="Arial"/>
          <w:sz w:val="22"/>
          <w:szCs w:val="22"/>
        </w:rPr>
        <w:fldChar w:fldCharType="end"/>
      </w:r>
      <w:r w:rsidRPr="00DD3983" w:rsidR="005A6912">
        <w:rPr>
          <w:rFonts w:ascii="Arial" w:hAnsi="Arial" w:cs="Arial"/>
          <w:sz w:val="22"/>
          <w:szCs w:val="22"/>
        </w:rPr>
        <w:t xml:space="preserve"> </w:t>
      </w:r>
      <w:r w:rsidRPr="00DD3983" w:rsidR="00347EDA">
        <w:rPr>
          <w:rFonts w:ascii="Arial" w:hAnsi="Arial" w:cs="Arial"/>
          <w:color w:val="000000" w:themeColor="text1"/>
          <w:sz w:val="22"/>
          <w:szCs w:val="22"/>
        </w:rPr>
        <w:t>Plasma neurofilament light chain (NfL) is another blood-based biomarker that can detect AD pathology but fails to distinguish MCI from normal aging (AUC &lt;0.60)</w:t>
      </w:r>
      <w:r w:rsidR="00C01756">
        <w:rPr>
          <w:rFonts w:ascii="Arial" w:hAnsi="Arial" w:cs="Arial"/>
          <w:color w:val="000000" w:themeColor="text1"/>
          <w:sz w:val="22"/>
          <w:szCs w:val="22"/>
        </w:rPr>
        <w:t>.</w:t>
      </w:r>
      <w:r w:rsidRPr="00DD3983" w:rsidR="00347EDA">
        <w:rPr>
          <w:rFonts w:ascii="Arial" w:hAnsi="Arial" w:cs="Arial"/>
          <w:color w:val="000000" w:themeColor="text1"/>
          <w:sz w:val="22"/>
          <w:szCs w:val="22"/>
        </w:rPr>
        <w:fldChar w:fldCharType="begin"/>
      </w:r>
      <w:r w:rsidR="00025355">
        <w:rPr>
          <w:rFonts w:ascii="Arial" w:hAnsi="Arial" w:cs="Arial"/>
          <w:color w:val="000000" w:themeColor="text1"/>
          <w:sz w:val="22"/>
          <w:szCs w:val="22"/>
        </w:rPr>
        <w:instrText xml:space="preserve"> ADDIN ZOTERO_ITEM CSL_CITATION {"citationID":"aTJYEKKT","properties":{"formattedCitation":"\\super 50\\nosupersub{}","plainCitation":"50","noteIndex":0},"citationItems":[{"id":821,"uris":["http://zotero.org/groups/5623148/items/E86Z79C2"],"itemData":{"id":821,"type":"article-journal","abstract":"Plasma biomarkers are promising tools for the early diagnosis of dementia and for monitoring its progression. In a population-based study, de Wolf et al. show that low amyloid-β42 and high NfL levels are associated, both independently and in combination, with an increased risk of dementia and Alzheimer’s disease., CSF biomarkers, including total-tau, neurofilament light chain (NfL) and amyloid-β, are increasingly being used to define and stage Alzheimer’s disease. These biomarkers can be measured more quickly and less invasively in plasma and may provide important information for early diagnosis of Alzheimer’s disease. We used stored plasma samples and clinical data obtained from 4444 non-demented participants in the Rotterdam study at baseline (between 2002 and 2005) and during follow-up until January 2016. Plasma concentrations of total-tau, NfL, amyloid-β40 and amyloid-β42 were measured using the Simoa NF-light® and N3PA assays. Associations between biomarker plasma levels and incident all-cause and Alzheimer’s disease dementia during follow-up were assessed using Cox proportional-hazard regression models adjusted for age, sex, education, cardiovascular risk factors and APOE ε4 status. Moreover, biomarker plasma levels and rates of change over time of participants who developed Alzheimer’s disease dementia during follow-up were compared with age and sex-matched dementia-free control subjects. During up to 14 years follow-up, 549 participants developed dementia, including 374 cases with Alzheimer’s disease dementia. A log2 higher baseline amyloid-β42 plasma level was associated with a lower risk of developing all-cause or Alzheimer’s disease dementia, adjusted hazard ratio (HR) 0.61 [95% confidence interval (CI), 0.47–0.78; P &lt; 0.0001] and 0.59 (95% CI, 0.43–0.79; P = 0.0006), respectively. Conversely, a log2 higher baseline plasma NfL level was associated with a higher risk of all-cause dementia [adjusted HR 1.59 (95% CI, 1.38–1.83); P &lt; 0.0001] or Alzheimer’s disease [adjusted HR 1.50 (95% CI, 1.26–1.78); P &lt; 0.0001]. Combining the lowest quartile group of amyloid-β42 with the highest of NfL resulted in a stronger association with all-cause dementia [adjusted HR 9.5 (95% CI, 2.3–40.4); P &lt; 0.002] and with Alzheimer’s disease [adjusted HR 15.7 (95% CI, 2.1–117.4); P &lt; 0.0001], compared to the highest quartile group of amyloid-β42 and lowest of NfL. Total-tau and amyloid-β40 levels were not associated with all-cause or Alzheimer’s disease dementia risk. Trajectory analyses of biomarkers revealed that mean NfL plasma levels increased 3.4 times faster in participants who developed Alzheimer’s disease compared to those who remained dementia-free (P &lt; 0.0001), plasma values for cases diverged from controls 9.6 years before Alzheimer’s disease diagnosis. Amyloid-β42 levels began to decrease in Alzheimer’s disease cases a few years before diagnosis, although the decline did not reach significance compared to dementia-free participants. In conclusion, our study shows that low amyloid-β42 and high NfL plasma levels are each independently and in combination strongly associated with risk of all-cause and Alzheimer’s disease dementia. These data indicate that plasma NfL and amyloid-β42 levels can be used to assess the risk of developing dementia in a non-demented population. Plasma NfL levels, although not specific, may also be useful in monitoring progression of Alzheimer’s disease dementia.","container-title":"Brain","DOI":"10.1093/brain/awaa054","ISSN":"0006-8950","issue":"4","journalAbbreviation":"Brain","note":"PMID: 32206776\nPMCID: PMC7174054","page":"1220-1232","source":"PubMed Central","title":"Plasma tau, neurofilament light chain and amyloid-β levels and risk of dementia; a population-based cohort study","volume":"143","author":[{"family":"Wolf","given":"Frank","non-dropping-particle":"de"},{"family":"Ghanbari","given":"Mohsen"},{"family":"Licher","given":"Silvan"},{"family":"McRae-McKee","given":"Kevin"},{"family":"Gras","given":"Luuk"},{"family":"Weverling","given":"Gerrit Jan"},{"family":"Wermeling","given":"Paulien"},{"family":"Sedaghat","given":"Sanaz"},{"family":"Ikram","given":"M Kamran"},{"family":"Waziry","given":"Reem"},{"family":"Koudstaal","given":"Wouter"},{"family":"Klap","given":"Jaco"},{"family":"Kostense","given":"Stefan"},{"family":"Hofman","given":"Albert"},{"family":"Anderson","given":"Roy"},{"family":"Goudsmit","given":"Jaap"},{"family":"Ikram","given":"M Arfan"}],"issued":{"date-parts":[["2020",4]]}}}],"schema":"https://github.com/citation-style-language/schema/raw/master/csl-citation.json"} </w:instrText>
      </w:r>
      <w:r w:rsidRPr="00DD3983" w:rsidR="00347EDA">
        <w:rPr>
          <w:rFonts w:ascii="Arial" w:hAnsi="Arial" w:cs="Arial"/>
          <w:color w:val="000000" w:themeColor="text1"/>
          <w:sz w:val="22"/>
          <w:szCs w:val="22"/>
        </w:rPr>
        <w:fldChar w:fldCharType="separate"/>
      </w:r>
      <w:r w:rsidRPr="00025355" w:rsidR="00025355">
        <w:rPr>
          <w:rFonts w:ascii="Arial" w:hAnsi="Arial" w:cs="Arial"/>
          <w:sz w:val="22"/>
          <w:vertAlign w:val="superscript"/>
        </w:rPr>
        <w:t>50</w:t>
      </w:r>
      <w:r w:rsidRPr="00DD3983" w:rsidR="00347EDA">
        <w:rPr>
          <w:rFonts w:ascii="Arial" w:hAnsi="Arial" w:cs="Arial"/>
          <w:color w:val="000000" w:themeColor="text1"/>
          <w:sz w:val="22"/>
          <w:szCs w:val="22"/>
        </w:rPr>
        <w:fldChar w:fldCharType="end"/>
      </w:r>
      <w:r w:rsidRPr="00DD3983" w:rsidR="00EF46F8">
        <w:rPr>
          <w:rFonts w:ascii="Arial" w:hAnsi="Arial" w:cs="Arial"/>
          <w:color w:val="000000" w:themeColor="text1"/>
          <w:sz w:val="22"/>
          <w:szCs w:val="22"/>
        </w:rPr>
        <w:t xml:space="preserve"> </w:t>
      </w:r>
      <w:r w:rsidRPr="00DD3983" w:rsidR="00B43012">
        <w:rPr>
          <w:rFonts w:ascii="Arial" w:hAnsi="Arial" w:cs="Arial"/>
          <w:sz w:val="22"/>
          <w:szCs w:val="22"/>
        </w:rPr>
        <w:t>Neuroimaging techniques, such as PET scans, provide valuable insights into amyloid and tau accumulation, but their diagnostic thresholds vary across studies, leading to inconsistent results</w:t>
      </w:r>
      <w:r w:rsidR="00C01756">
        <w:rPr>
          <w:rFonts w:ascii="Arial" w:hAnsi="Arial" w:cs="Arial"/>
          <w:sz w:val="22"/>
          <w:szCs w:val="22"/>
        </w:rPr>
        <w:t>.</w:t>
      </w:r>
      <w:r w:rsidRPr="00DD3983" w:rsidR="00A62ED8">
        <w:rPr>
          <w:rFonts w:ascii="Arial" w:hAnsi="Arial" w:cs="Arial"/>
          <w:sz w:val="22"/>
          <w:szCs w:val="22"/>
        </w:rPr>
        <w:fldChar w:fldCharType="begin"/>
      </w:r>
      <w:r w:rsidR="00025355">
        <w:rPr>
          <w:rFonts w:ascii="Arial" w:hAnsi="Arial" w:cs="Arial"/>
          <w:sz w:val="22"/>
          <w:szCs w:val="22"/>
        </w:rPr>
        <w:instrText xml:space="preserve"> ADDIN ZOTERO_ITEM CSL_CITATION {"citationID":"ual7603P","properties":{"formattedCitation":"\\super 33,34\\nosupersub{}","plainCitation":"33,34","noteIndex":0},"citationItems":[{"id":"7XVybpWP/CXL73vw0","uris":["http://zotero.org/users/14808074/items/7XT8RE24"],"itemData":{"id":962,"type":"webpage","title":"Neuroimaging modalities in the detection of Alzheimer's disease-associated biomarkers | Psychoradiology | Oxford Academic","URL":"https://academic.oup.com/psyrad/article/doi/10.1093/psyrad/kkad009/7205306","accessed":{"date-parts":[["2025",3,12]]}}},{"id":"7XVybpWP/tUhQZ36H","uris":["http://zotero.org/users/14808074/items/I5UDKSQZ"],"itemData":{"id":949,"type":"article-journal","abstract":"PET based tools can improve the early diagnosis of Alzheimer's disease (AD) and differential diagnosis of dementia. The importance of identifying individuals at risk of developing dementia among people with subjective cognitive complaints or mild cognitive impairment has clinical, social, and therapeutic implications. Within the two major classes of AD biomarkers currently identified, that is, markers of pathology and neurodegeneration, amyloid- and FDG-PET imaging represent decisive tools for their measurement. As a consequence, the PET tools have been recognized to be of crucial value in the recent guidelines for the early diagnosis of AD and other dementia conditions. The references based recommendations, however, include large PET imaging literature based on visual methods that greatly reduces sensitivity and specificity and lacks a clear cut-off between normal and pathological findings. PET imaging can be assessed using parametric or voxel-wise analyses by comparing the subject's scan with a normative data set, significantly increasing the diagnostic accuracy. This paper is a survey of the relevant literature on FDG and amyloid-PET imaging aimed at providing the value of quantification for the early and differential diagnosis of AD. This allowed a meta-analysis and GRADE analysis revealing high values for PET imaging that might be useful in considering recommendations.","container-title":"BioMed Research International","DOI":"10.1155/2014/785039","ISSN":"2314-6141","journalAbbreviation":"Biomed Res Int","language":"eng","note":"PMID: 24772437\nPMCID: PMC3977528","page":"785039","source":"PubMed","title":"A survey of FDG- and amyloid-PET imaging in dementia and GRADE analysis","volume":"2014","author":[{"family":"Perani","given":"Daniela"},{"family":"Schillaci","given":"Orazio"},{"family":"Padovani","given":"Alessandro"},{"family":"Nobili","given":"Flavio Mariano"},{"family":"Iaccarino","given":"Leonardo"},{"family":"Della Rosa","given":"Pasquale Anthony"},{"family":"Frisoni","given":"Giovanni"},{"family":"Caltagirone","given":"Carlo"}],"issued":{"date-parts":[["2014"]]}}}],"schema":"https://github.com/citation-style-language/schema/raw/master/csl-citation.json"} </w:instrText>
      </w:r>
      <w:r w:rsidRPr="00DD3983" w:rsidR="00A62ED8">
        <w:rPr>
          <w:rFonts w:ascii="Arial" w:hAnsi="Arial" w:cs="Arial"/>
          <w:sz w:val="22"/>
          <w:szCs w:val="22"/>
        </w:rPr>
        <w:fldChar w:fldCharType="separate"/>
      </w:r>
      <w:r w:rsidRPr="00025355" w:rsidR="00025355">
        <w:rPr>
          <w:rFonts w:ascii="Arial" w:hAnsi="Arial" w:cs="Arial"/>
          <w:sz w:val="22"/>
          <w:vertAlign w:val="superscript"/>
        </w:rPr>
        <w:t>33,34</w:t>
      </w:r>
      <w:r w:rsidRPr="00DD3983" w:rsidR="00A62ED8">
        <w:rPr>
          <w:rFonts w:ascii="Arial" w:hAnsi="Arial" w:cs="Arial"/>
          <w:sz w:val="22"/>
          <w:szCs w:val="22"/>
        </w:rPr>
        <w:fldChar w:fldCharType="end"/>
      </w:r>
    </w:p>
    <w:p w:rsidRPr="00DD3983" w:rsidR="00680402" w:rsidP="00680402" w:rsidRDefault="00680402" w14:paraId="7E1E0F75" w14:textId="77777777">
      <w:pPr>
        <w:pStyle w:val="NormalWeb"/>
        <w:spacing w:before="0" w:beforeAutospacing="0" w:after="0" w:afterAutospacing="0"/>
        <w:jc w:val="both"/>
        <w:rPr>
          <w:rFonts w:ascii="Arial" w:hAnsi="Arial" w:cs="Arial"/>
          <w:sz w:val="22"/>
          <w:szCs w:val="22"/>
        </w:rPr>
      </w:pPr>
    </w:p>
    <w:p w:rsidRPr="00595CC0" w:rsidR="00D14021" w:rsidP="00680402" w:rsidRDefault="00503E8E" w14:paraId="53452AD4" w14:textId="0FF81CD1">
      <w:pPr>
        <w:pStyle w:val="Heading3"/>
        <w:spacing w:before="0" w:line="240" w:lineRule="auto"/>
        <w:rPr>
          <w:rFonts w:cs="Arial"/>
          <w:b/>
          <w:iCs/>
          <w:sz w:val="22"/>
          <w:szCs w:val="22"/>
        </w:rPr>
      </w:pPr>
      <w:r w:rsidRPr="00595CC0">
        <w:rPr>
          <w:iCs/>
        </w:rPr>
        <w:t xml:space="preserve">Cost </w:t>
      </w:r>
      <w:r w:rsidRPr="00595CC0" w:rsidR="00CB5A21">
        <w:rPr>
          <w:rFonts w:cs="Arial"/>
          <w:iCs/>
          <w:sz w:val="22"/>
          <w:szCs w:val="22"/>
        </w:rPr>
        <w:t>and Acce</w:t>
      </w:r>
      <w:r w:rsidRPr="00595CC0" w:rsidR="001D1A68">
        <w:rPr>
          <w:rFonts w:cs="Arial"/>
          <w:iCs/>
          <w:sz w:val="22"/>
          <w:szCs w:val="22"/>
        </w:rPr>
        <w:t>ssi</w:t>
      </w:r>
      <w:r w:rsidRPr="00595CC0" w:rsidR="00CB5A21">
        <w:rPr>
          <w:rFonts w:cs="Arial"/>
          <w:iCs/>
          <w:sz w:val="22"/>
          <w:szCs w:val="22"/>
        </w:rPr>
        <w:t xml:space="preserve">bility </w:t>
      </w:r>
      <w:r w:rsidRPr="00595CC0">
        <w:rPr>
          <w:rFonts w:cs="Arial"/>
          <w:iCs/>
          <w:sz w:val="22"/>
          <w:szCs w:val="22"/>
        </w:rPr>
        <w:t>Barrier</w:t>
      </w:r>
      <w:r w:rsidR="00595CC0">
        <w:rPr>
          <w:rFonts w:cs="Arial"/>
          <w:iCs/>
          <w:sz w:val="22"/>
          <w:szCs w:val="22"/>
        </w:rPr>
        <w:t>s</w:t>
      </w:r>
    </w:p>
    <w:p w:rsidR="00680402" w:rsidP="00F6306A" w:rsidRDefault="0005512A" w14:paraId="14B7CA4A" w14:textId="78D2F2FA">
      <w:pPr>
        <w:pStyle w:val="NormalWeb"/>
        <w:spacing w:before="0" w:beforeAutospacing="0" w:after="80" w:afterAutospacing="0"/>
        <w:jc w:val="both"/>
        <w:rPr>
          <w:rFonts w:ascii="Arial" w:hAnsi="Arial" w:cs="Arial"/>
          <w:sz w:val="22"/>
          <w:szCs w:val="22"/>
        </w:rPr>
      </w:pPr>
      <w:r w:rsidRPr="0021512E">
        <w:rPr>
          <w:rFonts w:ascii="Arial" w:hAnsi="Arial" w:cs="Arial"/>
          <w:sz w:val="22"/>
          <w:szCs w:val="22"/>
        </w:rPr>
        <w:t>Financial</w:t>
      </w:r>
      <w:r w:rsidRPr="0021512E" w:rsidR="00E7029B">
        <w:rPr>
          <w:rFonts w:ascii="Arial" w:hAnsi="Arial" w:cs="Arial"/>
          <w:sz w:val="22"/>
          <w:szCs w:val="22"/>
        </w:rPr>
        <w:t xml:space="preserve"> and logistical challenges further limit the widespread adoption of early diagnostic tools, as our review shows that 24% </w:t>
      </w:r>
      <w:r w:rsidRPr="0021512E" w:rsidR="009A40BC">
        <w:rPr>
          <w:rFonts w:ascii="Arial" w:hAnsi="Arial" w:cs="Arial"/>
          <w:sz w:val="22"/>
          <w:szCs w:val="22"/>
        </w:rPr>
        <w:t>(n=</w:t>
      </w:r>
      <w:r w:rsidRPr="0021512E" w:rsidR="00E04BCF">
        <w:rPr>
          <w:rFonts w:ascii="Arial" w:hAnsi="Arial" w:cs="Arial"/>
          <w:sz w:val="22"/>
          <w:szCs w:val="22"/>
        </w:rPr>
        <w:t xml:space="preserve">23) </w:t>
      </w:r>
      <w:r w:rsidRPr="0021512E" w:rsidR="00E7029B">
        <w:rPr>
          <w:rFonts w:ascii="Arial" w:hAnsi="Arial" w:cs="Arial"/>
          <w:sz w:val="22"/>
          <w:szCs w:val="22"/>
        </w:rPr>
        <w:t xml:space="preserve">of </w:t>
      </w:r>
      <w:r w:rsidRPr="0021512E" w:rsidR="00734FA9">
        <w:rPr>
          <w:rFonts w:ascii="Arial" w:hAnsi="Arial" w:cs="Arial"/>
          <w:sz w:val="22"/>
          <w:szCs w:val="22"/>
        </w:rPr>
        <w:t xml:space="preserve">biomedical </w:t>
      </w:r>
      <w:r w:rsidRPr="0021512E" w:rsidR="00E7029B">
        <w:rPr>
          <w:rFonts w:ascii="Arial" w:hAnsi="Arial" w:cs="Arial"/>
          <w:sz w:val="22"/>
          <w:szCs w:val="22"/>
        </w:rPr>
        <w:t>papers identify cost as a significant barrier.</w:t>
      </w:r>
      <w:r w:rsidRPr="00DD3983">
        <w:rPr>
          <w:rFonts w:ascii="Arial" w:hAnsi="Arial" w:cs="Arial"/>
          <w:sz w:val="22"/>
          <w:szCs w:val="22"/>
        </w:rPr>
        <w:t xml:space="preserve"> </w:t>
      </w:r>
      <w:r w:rsidRPr="00DD3983" w:rsidR="005B32A0">
        <w:rPr>
          <w:rFonts w:ascii="Arial" w:hAnsi="Arial" w:cs="Arial"/>
          <w:sz w:val="22"/>
          <w:szCs w:val="22"/>
        </w:rPr>
        <w:t>According</w:t>
      </w:r>
      <w:r w:rsidRPr="00DD3983" w:rsidR="00F4205E">
        <w:rPr>
          <w:rFonts w:ascii="Arial" w:hAnsi="Arial" w:cs="Arial"/>
          <w:sz w:val="22"/>
          <w:szCs w:val="22"/>
        </w:rPr>
        <w:t xml:space="preserve"> to our review</w:t>
      </w:r>
      <w:r w:rsidRPr="00DD3983" w:rsidR="0041183D">
        <w:rPr>
          <w:rFonts w:ascii="Arial" w:hAnsi="Arial" w:cs="Arial"/>
          <w:sz w:val="22"/>
          <w:szCs w:val="22"/>
        </w:rPr>
        <w:t>, b</w:t>
      </w:r>
      <w:r w:rsidRPr="00DD3983" w:rsidR="00CA38E9">
        <w:rPr>
          <w:rFonts w:ascii="Arial" w:hAnsi="Arial" w:cs="Arial"/>
          <w:sz w:val="22"/>
          <w:szCs w:val="22"/>
        </w:rPr>
        <w:t>oth</w:t>
      </w:r>
      <w:r w:rsidRPr="00DD3983" w:rsidR="001D6C69">
        <w:rPr>
          <w:rFonts w:ascii="Arial" w:hAnsi="Arial" w:cs="Arial"/>
          <w:sz w:val="22"/>
          <w:szCs w:val="22"/>
        </w:rPr>
        <w:t xml:space="preserve"> CSF and blood biomarkers require specialized laboratory equipment and are costly, </w:t>
      </w:r>
      <w:r w:rsidRPr="00DD3983" w:rsidR="00CA38E9">
        <w:rPr>
          <w:rFonts w:ascii="Arial" w:hAnsi="Arial" w:cs="Arial"/>
          <w:sz w:val="22"/>
          <w:szCs w:val="22"/>
        </w:rPr>
        <w:t>limiting their accessibility</w:t>
      </w:r>
      <w:r w:rsidRPr="00DD3983" w:rsidR="001D6C69">
        <w:rPr>
          <w:rFonts w:ascii="Arial" w:hAnsi="Arial" w:cs="Arial"/>
          <w:sz w:val="22"/>
          <w:szCs w:val="22"/>
        </w:rPr>
        <w:t xml:space="preserve"> in many clinical settings</w:t>
      </w:r>
      <w:r w:rsidRPr="00DD3983" w:rsidR="00CA38E9">
        <w:rPr>
          <w:rFonts w:ascii="Arial" w:hAnsi="Arial" w:cs="Arial"/>
          <w:sz w:val="22"/>
          <w:szCs w:val="22"/>
        </w:rPr>
        <w:t>.</w:t>
      </w:r>
      <w:r w:rsidRPr="00DD3983" w:rsidR="00E623FE">
        <w:rPr>
          <w:rFonts w:ascii="Arial" w:hAnsi="Arial" w:cs="Arial"/>
          <w:sz w:val="22"/>
          <w:szCs w:val="22"/>
        </w:rPr>
        <w:fldChar w:fldCharType="begin"/>
      </w:r>
      <w:r w:rsidR="00025355">
        <w:rPr>
          <w:rFonts w:ascii="Arial" w:hAnsi="Arial" w:cs="Arial"/>
          <w:sz w:val="22"/>
          <w:szCs w:val="22"/>
        </w:rPr>
        <w:instrText xml:space="preserve"> ADDIN ZOTERO_ITEM CSL_CITATION {"citationID":"RiXEgbfR","properties":{"formattedCitation":"\\super 39,39,51,52\\nosupersub{}","plainCitation":"39,39,51,52","noteIndex":0},"citationItems":[{"id":"7XVybpWP/y98r7ZfO","uris":["http://zotero.org/users/14808074/items/732AYDQL"],"itemData":{"id":1018,"type":"article-journal","abstract":"Over the last few years, intense research efforts have been made to anticipate or improve the diagnosis of Alzheimer's disease by detecting blood biomarkers. However, the most promising blood biomarkers identified to date have some limitations, most of them related to the techniques required for their detection. Hence, new blood biomarkers should be identified to improve the diagnosis of AD, better discriminate between AD and mild cognitive impairment (MCI) and identify cognitively unimpaired (CU) older individuals at risk for progression to AD. Our previous studies demonstrated that both the purinergic receptor P2X7 and the tissue-nonspecific alkaline phosphatase ectoenzyme (TNAP) are upregulated in the brains of AD patients. Since both proteins are also present in plasma, we investigated whether plasma P2X7R and TNAP are altered in MCI and AD patients and, if so, their potential role as AD biomarkers. We found that AD but not MCI patients present increased plasma P2X7R levels. Nevertheless, TNAP plasma activity was increased in MCI patients and decreased in the AD group. ROC curve analysis indicated that measuring both parameters has a reasonable discriminating capability to diagnose MCI and AD conditions. In addition to confirming that individuals progressing to MCI have increased TNAP activity in plasma, longitudinal studies also revealed that CU individuals have lower plasma TNAP activity than stable controls. Thus, we propose that P2X7 and TNAP could serve as new plasma biomarkers for MCI and AD.","container-title":"International Journal of Molecular Sciences","DOI":"10.3390/ijms241310897","ISSN":"1422-0067","issue":"13","journalAbbreviation":"Int J Mol Sci","language":"eng","note":"PMID: 37446074\nPMCID: PMC10342008","page":"10897","source":"PubMed","title":"TNAP and P2X7R: New Plasma Biomarkers for Alzheimer's Disease","title-short":"TNAP and P2X7R","volume":"24","author":[{"family":"Aivar","given":"Paloma"},{"family":"Bianchi","given":"Carolina"},{"family":"Di Lauro","given":"Caterina"},{"family":"Soria-Tobar","given":"Lucia"},{"family":"Alvarez-Castelao","given":"Beatriz"},{"family":"Calero","given":"Miguel"},{"family":"Medina","given":"Miguel"},{"family":"Diaz-Hernandez","given":"Miguel"}],"issued":{"date-parts":[["2023",6,30]]}}},{"id":"7XVybpWP/y98r7ZfO","uris":["http://zotero.org/users/14808074/items/732AYDQL"],"itemData":{"id":1018,"type":"article-journal","abstract":"Over the last few years, intense research efforts have been made to anticipate or improve the diagnosis of Alzheimer's disease by detecting blood biomarkers. However, the most promising blood biomarkers identified to date have some limitations, most of them related to the techniques required for their detection. Hence, new blood biomarkers should be identified to improve the diagnosis of AD, better discriminate between AD and mild cognitive impairment (MCI) and identify cognitively unimpaired (CU) older individuals at risk for progression to AD. Our previous studies demonstrated that both the purinergic receptor P2X7 and the tissue-nonspecific alkaline phosphatase ectoenzyme (TNAP) are upregulated in the brains of AD patients. Since both proteins are also present in plasma, we investigated whether plasma P2X7R and TNAP are altered in MCI and AD patients and, if so, their potential role as AD biomarkers. We found that AD but not MCI patients present increased plasma P2X7R levels. Nevertheless, TNAP plasma activity was increased in MCI patients and decreased in the AD group. ROC curve analysis indicated that measuring both parameters has a reasonable discriminating capability to diagnose MCI and AD conditions. In addition to confirming that individuals progressing to MCI have increased TNAP activity in plasma, longitudinal studies also revealed that CU individuals have lower plasma TNAP activity than stable controls. Thus, we propose that P2X7 and TNAP could serve as new plasma biomarkers for MCI and AD.","container-title":"International Journal of Molecular Sciences","DOI":"10.3390/ijms241310897","ISSN":"1422-0067","issue":"13","journalAbbreviation":"Int J Mol Sci","language":"eng","note":"PMID: 37446074\nPMCID: PMC10342008","page":"10897","source":"PubMed","title":"TNAP and P2X7R: New Plasma Biomarkers for Alzheimer's Disease","title-short":"TNAP and P2X7R","volume":"24","author":[{"family":"Aivar","given":"Paloma"},{"family":"Bianchi","given":"Carolina"},{"family":"Di Lauro","given":"Caterina"},{"family":"Soria-Tobar","given":"Lucia"},{"family":"Alvarez-Castelao","given":"Beatriz"},{"family":"Calero","given":"Miguel"},{"family":"Medina","given":"Miguel"},{"family":"Diaz-Hernandez","given":"Miguel"}],"issued":{"date-parts":[["2023",6,30]]}}},{"id":"7XVybpWP/vM8vcg3V","uris":["http://zotero.org/users/14808074/items/859M7YCE"],"itemData":{"id":1051,"type":"article-journal","abstract":"BACKGROUND: Alzheimer's disease (AD) biomarker tests can be ordered as part of the diagnostic workup of patients with mild cognitive impairment (MCI). Little is known about how patients with MCI and their care partners decide whether to pursue testing.\nOBJECTIVE: To examine factors that influence AD biomarker testing decisions among patients with MCI and their care partners.\nDESIGN: We performed structured research interviews with patients with MCI and their study partners to assess the importance of eight factors in the decision whether to undergo AD biomarker testing (6-point Likert scale; 1-extremely unimportant to 6-extremely important): cost, fear of testing procedures, learning if AD is the cause of cognitive problems, concern about health insurance, instructing future planning, informing treatment decisions, family members' opinions, and doctor recommendation.\nSETTING: Two researchers administered interviews with participants in-person (i.e., participant home, research center) or remotely (i.e., telephone, video-conference).\nPARTICIPANTS: We completed interviews with 65 patients with a diagnosis of MCI and 57 study partners, referred by dementia specialist clinicians from the University of California, Irvine health system.\nMEASUREMENTS: We used generalized estimating equations (GEE) to examine the mean importance of each factor among patients and study partners, and the mean difference in importance of each factor within dyads.\nRESULTS: One third of participants reported the patient had previously undergone AD biomarker testing. Fifty-five percent of patients and 65% of study partners who reported no previous testing indicated a desire for the patient to be tested. GEE analyses found that patients and study partners rated the following factors with highest importance: informing treatment decisions (mean score 5.29, 95% CI: 5.06, 5.52 for patients; mean score 5.56, 95% CI: 5.41, 5.72 for partners); doctor recommendation (4.94, 95% CI: 4.73, 5.15 for patients; 5.16, 95% CI: 4.97, 5.34 for partners); and instructing future planning (4.88, 95% CI: 4.59, 5.16 for patients; 5.11, 95% CI: 4.86, 5.35 for partners). High dyadic agreement was observed for all factors except fear of testing, which patients rated with lower importance than their study partners.\nCONCLUSIONS: Biomarker testing for AD in patients with MCI is a rapidly evolving practice and limited data exist on patient perspectives. In this study, most patients and their care partners were interested in testing to help inform treatment decisions and to plan for the future. Participants placed high importance on clinician recommendations for biomarker testing, highlighting the need for clear communication and education on the options, limitations, risks, and benefits of testing.","container-title":"The Journal of Prevention of Alzheimer's Disease","DOI":"10.14283/jpad.2024.10","ISSN":"2426-0266","issue":"2","journalAbbreviation":"J Prev Alzheimers Dis","language":"eng","note":"PMID: 38374734","page":"285-293","source":"PubMed","title":"Alzheimer's Disease Biomarker Decision-Making among Patients with Mild Cognitive Impairment and Their Care Partners","volume":"11","author":[{"family":"Cox","given":"C. G."},{"family":"Salazar","given":"C. R."},{"family":"Birnbaum","given":"A. I."},{"family":"Witbracht","given":"M."},{"family":"Tam","given":"S. P."},{"family":"Thai","given":"G. T."},{"family":"Sajjadi","given":"S. A."},{"family":"Gillen","given":"D. L."},{"family":"Grill","given":"J. D."}],"issued":{"date-parts":[["2024"]]}}},{"id":964,"uris":["http://zotero.org/groups/5623148/items/2JX6863Z"],"itemData":{"id":964,"type":"article-journal","abstract":"PURPOSEIn the last decade, the research community has focused on defining reliable biomarkers for the early detection of Alzheimer's disease (AD) pathology. In 2017, the Geneva AD Biomarker Roadmap Initiative adapted a framework for the systematic validation of oncological biomarkers to cerebrospinal fluid (CSF) AD biomarkers-encompassing the 42 amino-acid isoform of amyloid-β (Aβ42), phosphorylated-tau (P-tau), and Total-tau (T-tau)-with the aim to accelerate their development and clinical implementation. The aim of this work is to update the current validation status of CSF AD biomarkers based on the Biomarker Roadmap methodology.METHODSA panel of experts in AD biomarkers convened in November 2019 at a 2-day workshop in Geneva. The level of maturity (fully achieved, partly achieved, preliminary evidence, not achieved, unsuccessful) of CSF AD biomarkers was assessed based on the Biomarker Roadmap methodology before the meeting and presented and discussed during the workshop.RESULTSBy comparison to the previous 2017 Geneva Roadmap meeting, the primary advances in CSF AD biomarkers have been in the area of a unified protocol for CSF sampling, handling and storage, the introduction of certified reference methods and materials for Aβ42, and the introduction of fully automated assays. Additional advances have occurred in the form of defining thresholds for biomarker positivity and assessing the impact of covariates on their discriminatory ability.CONCLUSIONSThough much has been achieved for phases one through three, much work remains in phases four (real world performance) and five (assessment of impact/cost). To a large degree, this will depend on the availability of disease-modifying treatments for AD, given these will make accurate and generally available diagnostic tools key to initiate therapy.","archive":"MEDLINE®","archive_location":"2498483914; 33674895","container-title":"European journal of nuclear medicine and molecular imaging","DOI":"10.1007/s00259-021-05258-7","issue":"7","language":"English","page":"2121-2139","title":"2020 update on the clinical validity of cerebrospinal fluid amyloid, tau, and phospho-tau as biomarkers for Alzheimer's disease in the context of a structured 5-phase development framework.","volume":"48","author":[{"family":"Leuzy","given":"A"},{"family":"Ashton","given":"N J"},{"family":"Mattsson-Carlgren","given":"N"},{"family":"Dodich","given":"A"},{"family":"Boccardi","given":"M"},{"family":"Corre","given":"J"},{"family":"Drzezga","given":"A"},{"family":"Nordberg","given":"A"},{"family":"Ossenkoppele","given":"R"},{"family":"Zetterberg","given":"H"},{"family":"Blennow","given":"K"},{"family":"Frisoni","given":"G B"},{"family":"Garibotto","given":"V"},{"family":"Hansson","given":"O"}],"issued":{"date-parts":[["2021",7]]}}}],"schema":"https://github.com/citation-style-language/schema/raw/master/csl-citation.json"} </w:instrText>
      </w:r>
      <w:r w:rsidRPr="00DD3983" w:rsidR="00E623FE">
        <w:rPr>
          <w:rFonts w:ascii="Arial" w:hAnsi="Arial" w:cs="Arial"/>
          <w:sz w:val="22"/>
          <w:szCs w:val="22"/>
        </w:rPr>
        <w:fldChar w:fldCharType="separate"/>
      </w:r>
      <w:r w:rsidRPr="00025355" w:rsidR="00025355">
        <w:rPr>
          <w:rFonts w:ascii="Arial" w:hAnsi="Arial" w:cs="Arial"/>
          <w:sz w:val="22"/>
          <w:vertAlign w:val="superscript"/>
        </w:rPr>
        <w:t>39,39,51,52</w:t>
      </w:r>
      <w:r w:rsidRPr="00DD3983" w:rsidR="00E623FE">
        <w:rPr>
          <w:rFonts w:ascii="Arial" w:hAnsi="Arial" w:cs="Arial"/>
          <w:sz w:val="22"/>
          <w:szCs w:val="22"/>
        </w:rPr>
        <w:fldChar w:fldCharType="end"/>
      </w:r>
      <w:r w:rsidRPr="00DD3983" w:rsidR="00A0663E">
        <w:rPr>
          <w:rFonts w:ascii="Arial" w:hAnsi="Arial" w:cs="Arial"/>
          <w:sz w:val="22"/>
          <w:szCs w:val="22"/>
        </w:rPr>
        <w:t xml:space="preserve"> </w:t>
      </w:r>
      <w:r w:rsidRPr="00DD3983" w:rsidR="00967493">
        <w:rPr>
          <w:rFonts w:ascii="Arial" w:hAnsi="Arial" w:cs="Arial"/>
          <w:sz w:val="22"/>
          <w:szCs w:val="22"/>
        </w:rPr>
        <w:t>In addition, n</w:t>
      </w:r>
      <w:r w:rsidRPr="00DD3983" w:rsidR="003D1406">
        <w:rPr>
          <w:rFonts w:ascii="Arial" w:hAnsi="Arial" w:cs="Arial"/>
          <w:sz w:val="22"/>
          <w:szCs w:val="22"/>
        </w:rPr>
        <w:t xml:space="preserve">euroimaging techniques such as MRI and PET play a crucial role in AD diagnosis but </w:t>
      </w:r>
      <w:r w:rsidRPr="00DD3983" w:rsidR="00337236">
        <w:rPr>
          <w:rFonts w:ascii="Arial" w:hAnsi="Arial" w:cs="Arial"/>
          <w:sz w:val="22"/>
          <w:szCs w:val="22"/>
        </w:rPr>
        <w:t>require specialized laboratory equipment and are costly, making them inaccessible in many clinical settings</w:t>
      </w:r>
      <w:r w:rsidR="00C01756">
        <w:rPr>
          <w:rFonts w:ascii="Arial" w:hAnsi="Arial" w:cs="Arial"/>
          <w:sz w:val="22"/>
          <w:szCs w:val="22"/>
        </w:rPr>
        <w:t>.</w:t>
      </w:r>
      <w:r w:rsidRPr="00DD3983" w:rsidR="003D1406">
        <w:rPr>
          <w:rFonts w:ascii="Arial" w:hAnsi="Arial" w:cs="Arial"/>
          <w:sz w:val="22"/>
          <w:szCs w:val="22"/>
        </w:rPr>
        <w:fldChar w:fldCharType="begin"/>
      </w:r>
      <w:r w:rsidR="00025355">
        <w:rPr>
          <w:rFonts w:ascii="Arial" w:hAnsi="Arial" w:cs="Arial"/>
          <w:sz w:val="22"/>
          <w:szCs w:val="22"/>
        </w:rPr>
        <w:instrText xml:space="preserve"> ADDIN ZOTERO_ITEM CSL_CITATION {"citationID":"FePY1Ku2","properties":{"formattedCitation":"\\super 34,53,54\\nosupersub{}","plainCitation":"34,53,54","noteIndex":0},"citationItems":[{"id":"7XVybpWP/hi9kRHdp","uris":["http://zotero.org/users/14808074/items/5C3RS85B"],"itemData":{"id":952,"type":"webpage","title":"Frontiers | Utilizing portable electroencephalography to screen for pathology of Alzheimer’s disease: a methodological advancement in diagnosis of neurodegenerative diseases","URL":"https://www.frontiersin.org/journals/psychiatry/articles/10.3389/fpsyt.2024.1392158/full","accessed":{"date-parts":[["2025",3,12]]}}},{"id":"7XVybpWP/DHSmIXIp","uris":["http://zotero.org/users/14808074/items/Q3BNSRRN"],"itemData":{"id":946,"type":"article-journal","abstract":"BACKGROUND: Medial temporal lobe atrophy (MTA) is a diagnostic marker for mild cognitive impairment (MCI) and Alzheimer's disease (AD), but the accuracy of quantitative MTA (QMTA) in diagnosing early AD is unclear. This study aimed to investigate the accuracy of QMTA and its related components (inferior lateral ventricle [ILV] and hippocampus) with MTA in the early diagnosis of MCI and AD.\nMETHODS: This study included four groups: normal (NC), MCI stable (MCIs), MCI converted to AD (MCIs), and mild AD (M-AD) groups. Magnetic resonance image analysis software was used to quantify the hippocampus, ILV, and QMTA. MTA was rated by two experienced neurologists. Receiver operating characteristic area under the curve (AUC) analysis was performed to compare their capability in differentiating AD from NC and MCI, and optimal thresholds were determined using the Youden index.\nRESULTS: QMTA distinguished M-AD from NC and MCI with higher diagnostic accuracy than MTA, hippocampus, and ILV (AUCNC = 0.976, AUCMCI = 0.836, AUCMCIs = 0.894, AUCMCIc = 0.730). The diagnostic accuracy of QMTA was superior to that of MTA, the hippocampus, and ILV in differentiating MCI from AD. The diagnostic accuracy of QMTA was found to remain the best across age, sex, and pathological subgroups analyzed. The sensitivity (92.45%) and specificity (90.64%) were higher in this study when a cutoff value of 0.635 was chosen for QMTA.\nCONCLUSIONS: QMTA may be a better choice than the MTA scale or the associated quantitative components alone in identifying AD patients and MCI individuals with higher progression risk.","container-title":"CNS neuroscience &amp; therapeutics","DOI":"10.1111/cns.14492","ISSN":"1755-5949","issue":"4","journalAbbreviation":"CNS Neurosci Ther","language":"eng","note":"PMID: 37864441\nPMCID: PMC11017425","page":"e14492","source":"PubMed","title":"The role of visual rating and automated brain volumetry in early detection and differential diagnosis of Alzheimer's disease","volume":"30","author":[{"family":"Mai","given":"Yingren"},{"family":"Cao","given":"Zhiyu"},{"family":"Zhao","given":"Lei"},{"family":"Yu","given":"Qun"},{"family":"Xu","given":"Jiaxin"},{"family":"Liu","given":"Wenyan"},{"family":"Liu","given":"Bowen"},{"family":"Tang","given":"Jingyi"},{"family":"Luo","given":"Yishan"},{"family":"Liao","given":"Wang"},{"family":"Fang","given":"Wenli"},{"family":"Ruan","given":"Yuting"},{"family":"Lei","given":"Ming"},{"family":"Mok","given":"Vincent C. T."},{"family":"Shi","given":"Lin"},{"family":"Liu","given":"Jun"},{"literal":"Alzheimer's Disease Neuroimaging Initiative"}],"issued":{"date-parts":[["2024",4]]}}},{"id":"7XVybpWP/tUhQZ36H","uris":["http://zotero.org/users/14808074/items/I5UDKSQZ"],"itemData":{"id":949,"type":"article-journal","abstract":"PET based tools can improve the early diagnosis of Alzheimer's disease (AD) and differential diagnosis of dementia. The importance of identifying individuals at risk of developing dementia among people with subjective cognitive complaints or mild cognitive impairment has clinical, social, and therapeutic implications. Within the two major classes of AD biomarkers currently identified, that is, markers of pathology and neurodegeneration, amyloid- and FDG-PET imaging represent decisive tools for their measurement. As a consequence, the PET tools have been recognized to be of crucial value in the recent guidelines for the early diagnosis of AD and other dementia conditions. The references based recommendations, however, include large PET imaging literature based on visual methods that greatly reduces sensitivity and specificity and lacks a clear cut-off between normal and pathological findings. PET imaging can be assessed using parametric or voxel-wise analyses by comparing the subject's scan with a normative data set, significantly increasing the diagnostic accuracy. This paper is a survey of the relevant literature on FDG and amyloid-PET imaging aimed at providing the value of quantification for the early and differential diagnosis of AD. This allowed a meta-analysis and GRADE analysis revealing high values for PET imaging that might be useful in considering recommendations.","container-title":"BioMed Research International","DOI":"10.1155/2014/785039","ISSN":"2314-6141","journalAbbreviation":"Biomed Res Int","language":"eng","note":"PMID: 24772437\nPMCID: PMC3977528","page":"785039","source":"PubMed","title":"A survey of FDG- and amyloid-PET imaging in dementia and GRADE analysis","volume":"2014","author":[{"family":"Perani","given":"Daniela"},{"family":"Schillaci","given":"Orazio"},{"family":"Padovani","given":"Alessandro"},{"family":"Nobili","given":"Flavio Mariano"},{"family":"Iaccarino","given":"Leonardo"},{"family":"Della Rosa","given":"Pasquale Anthony"},{"family":"Frisoni","given":"Giovanni"},{"family":"Caltagirone","given":"Carlo"}],"issued":{"date-parts":[["2014"]]}}}],"schema":"https://github.com/citation-style-language/schema/raw/master/csl-citation.json"} </w:instrText>
      </w:r>
      <w:r w:rsidRPr="00DD3983" w:rsidR="003D1406">
        <w:rPr>
          <w:rFonts w:ascii="Arial" w:hAnsi="Arial" w:cs="Arial"/>
          <w:sz w:val="22"/>
          <w:szCs w:val="22"/>
        </w:rPr>
        <w:fldChar w:fldCharType="separate"/>
      </w:r>
      <w:r w:rsidRPr="00025355" w:rsidR="00025355">
        <w:rPr>
          <w:rFonts w:ascii="Arial" w:hAnsi="Arial" w:cs="Arial"/>
          <w:sz w:val="22"/>
          <w:vertAlign w:val="superscript"/>
        </w:rPr>
        <w:t>34,53,54</w:t>
      </w:r>
      <w:r w:rsidRPr="00DD3983" w:rsidR="003D1406">
        <w:rPr>
          <w:rFonts w:ascii="Arial" w:hAnsi="Arial" w:cs="Arial"/>
          <w:sz w:val="22"/>
          <w:szCs w:val="22"/>
        </w:rPr>
        <w:fldChar w:fldCharType="end"/>
      </w:r>
      <w:r w:rsidRPr="00DD3983" w:rsidR="003D1406">
        <w:rPr>
          <w:rFonts w:ascii="Arial" w:hAnsi="Arial" w:cs="Arial"/>
          <w:sz w:val="22"/>
          <w:szCs w:val="22"/>
        </w:rPr>
        <w:t xml:space="preserve"> </w:t>
      </w:r>
      <w:r w:rsidRPr="00DD3983" w:rsidR="00BF31B9">
        <w:rPr>
          <w:rFonts w:ascii="Arial" w:hAnsi="Arial" w:cs="Arial"/>
          <w:sz w:val="22"/>
          <w:szCs w:val="22"/>
        </w:rPr>
        <w:t xml:space="preserve">PET imaging, </w:t>
      </w:r>
      <w:r w:rsidRPr="00DD3983" w:rsidR="0025709D">
        <w:rPr>
          <w:rFonts w:ascii="Arial" w:hAnsi="Arial" w:cs="Arial"/>
          <w:sz w:val="22"/>
          <w:szCs w:val="22"/>
        </w:rPr>
        <w:t xml:space="preserve">in particular, </w:t>
      </w:r>
      <w:r w:rsidRPr="00DD3983" w:rsidR="00051AA1">
        <w:rPr>
          <w:rFonts w:ascii="Arial" w:hAnsi="Arial" w:cs="Arial"/>
          <w:sz w:val="22"/>
          <w:szCs w:val="22"/>
        </w:rPr>
        <w:t xml:space="preserve">although </w:t>
      </w:r>
      <w:r w:rsidRPr="00DD3983" w:rsidR="00BF31B9">
        <w:rPr>
          <w:rFonts w:ascii="Arial" w:hAnsi="Arial" w:cs="Arial"/>
          <w:sz w:val="22"/>
          <w:szCs w:val="22"/>
        </w:rPr>
        <w:t>highly informative, is expensive and not widely available, restricting its use to specialized research centers</w:t>
      </w:r>
      <w:r w:rsidR="00A13316">
        <w:rPr>
          <w:rFonts w:ascii="Arial" w:hAnsi="Arial" w:cs="Arial"/>
          <w:sz w:val="22"/>
          <w:szCs w:val="22"/>
        </w:rPr>
        <w:t>,</w:t>
      </w:r>
      <w:r w:rsidRPr="00DD3983" w:rsidR="00010833">
        <w:rPr>
          <w:rFonts w:ascii="Arial" w:hAnsi="Arial" w:cs="Arial"/>
          <w:sz w:val="22"/>
          <w:szCs w:val="22"/>
        </w:rPr>
        <w:fldChar w:fldCharType="begin"/>
      </w:r>
      <w:r w:rsidR="00025355">
        <w:rPr>
          <w:rFonts w:ascii="Arial" w:hAnsi="Arial" w:cs="Arial"/>
          <w:sz w:val="22"/>
          <w:szCs w:val="22"/>
        </w:rPr>
        <w:instrText xml:space="preserve"> ADDIN ZOTERO_ITEM CSL_CITATION {"citationID":"FFoPkbyC","properties":{"formattedCitation":"\\super 33,34\\nosupersub{}","plainCitation":"33,34","noteIndex":0},"citationItems":[{"id":"7XVybpWP/CXL73vw0","uris":["http://zotero.org/users/14808074/items/7XT8RE24"],"itemData":{"id":962,"type":"webpage","title":"Neuroimaging modalities in the detection of Alzheimer's disease-associated biomarkers | Psychoradiology | Oxford Academic","URL":"https://academic.oup.com/psyrad/article/doi/10.1093/psyrad/kkad009/7205306","accessed":{"date-parts":[["2025",3,12]]}}},{"id":"7XVybpWP/tUhQZ36H","uris":["http://zotero.org/users/14808074/items/I5UDKSQZ"],"itemData":{"id":949,"type":"article-journal","abstract":"PET based tools can improve the early diagnosis of Alzheimer's disease (AD) and differential diagnosis of dementia. The importance of identifying individuals at risk of developing dementia among people with subjective cognitive complaints or mild cognitive impairment has clinical, social, and therapeutic implications. Within the two major classes of AD biomarkers currently identified, that is, markers of pathology and neurodegeneration, amyloid- and FDG-PET imaging represent decisive tools for their measurement. As a consequence, the PET tools have been recognized to be of crucial value in the recent guidelines for the early diagnosis of AD and other dementia conditions. The references based recommendations, however, include large PET imaging literature based on visual methods that greatly reduces sensitivity and specificity and lacks a clear cut-off between normal and pathological findings. PET imaging can be assessed using parametric or voxel-wise analyses by comparing the subject's scan with a normative data set, significantly increasing the diagnostic accuracy. This paper is a survey of the relevant literature on FDG and amyloid-PET imaging aimed at providing the value of quantification for the early and differential diagnosis of AD. This allowed a meta-analysis and GRADE analysis revealing high values for PET imaging that might be useful in considering recommendations.","container-title":"BioMed Research International","DOI":"10.1155/2014/785039","ISSN":"2314-6141","journalAbbreviation":"Biomed Res Int","language":"eng","note":"PMID: 24772437\nPMCID: PMC3977528","page":"785039","source":"PubMed","title":"A survey of FDG- and amyloid-PET imaging in dementia and GRADE analysis","volume":"2014","author":[{"family":"Perani","given":"Daniela"},{"family":"Schillaci","given":"Orazio"},{"family":"Padovani","given":"Alessandro"},{"family":"Nobili","given":"Flavio Mariano"},{"family":"Iaccarino","given":"Leonardo"},{"family":"Della Rosa","given":"Pasquale Anthony"},{"family":"Frisoni","given":"Giovanni"},{"family":"Caltagirone","given":"Carlo"}],"issued":{"date-parts":[["2014"]]}}}],"schema":"https://github.com/citation-style-language/schema/raw/master/csl-citation.json"} </w:instrText>
      </w:r>
      <w:r w:rsidRPr="00DD3983" w:rsidR="00010833">
        <w:rPr>
          <w:rFonts w:ascii="Arial" w:hAnsi="Arial" w:cs="Arial"/>
          <w:sz w:val="22"/>
          <w:szCs w:val="22"/>
        </w:rPr>
        <w:fldChar w:fldCharType="separate"/>
      </w:r>
      <w:r w:rsidRPr="00025355" w:rsidR="00025355">
        <w:rPr>
          <w:rFonts w:ascii="Arial" w:hAnsi="Arial" w:cs="Arial"/>
          <w:sz w:val="22"/>
          <w:vertAlign w:val="superscript"/>
        </w:rPr>
        <w:t>33,34</w:t>
      </w:r>
      <w:r w:rsidRPr="00DD3983" w:rsidR="00010833">
        <w:rPr>
          <w:rFonts w:ascii="Arial" w:hAnsi="Arial" w:cs="Arial"/>
          <w:sz w:val="22"/>
          <w:szCs w:val="22"/>
        </w:rPr>
        <w:fldChar w:fldCharType="end"/>
      </w:r>
      <w:r w:rsidRPr="00DD3983">
        <w:rPr>
          <w:rFonts w:ascii="Arial" w:hAnsi="Arial" w:cs="Arial"/>
          <w:sz w:val="22"/>
          <w:szCs w:val="22"/>
        </w:rPr>
        <w:t xml:space="preserve"> and logistical challenges further limit the widespread adoption of early diagnostic tools. </w:t>
      </w:r>
      <w:r w:rsidRPr="00DD3983" w:rsidR="005B32A0">
        <w:rPr>
          <w:rFonts w:ascii="Arial" w:hAnsi="Arial" w:cs="Arial"/>
          <w:sz w:val="22"/>
          <w:szCs w:val="22"/>
        </w:rPr>
        <w:t>According</w:t>
      </w:r>
      <w:r w:rsidRPr="00DD3983" w:rsidR="00F4205E">
        <w:rPr>
          <w:rFonts w:ascii="Arial" w:hAnsi="Arial" w:cs="Arial"/>
          <w:sz w:val="22"/>
          <w:szCs w:val="22"/>
        </w:rPr>
        <w:t xml:space="preserve"> to our review</w:t>
      </w:r>
      <w:r w:rsidRPr="00DD3983" w:rsidR="0041183D">
        <w:rPr>
          <w:rFonts w:ascii="Arial" w:hAnsi="Arial" w:cs="Arial"/>
          <w:sz w:val="22"/>
          <w:szCs w:val="22"/>
        </w:rPr>
        <w:t>, b</w:t>
      </w:r>
      <w:r w:rsidRPr="00DD3983" w:rsidR="00CA38E9">
        <w:rPr>
          <w:rFonts w:ascii="Arial" w:hAnsi="Arial" w:cs="Arial"/>
          <w:sz w:val="22"/>
          <w:szCs w:val="22"/>
        </w:rPr>
        <w:t>oth</w:t>
      </w:r>
      <w:r w:rsidRPr="00DD3983" w:rsidR="001D6C69">
        <w:rPr>
          <w:rFonts w:ascii="Arial" w:hAnsi="Arial" w:cs="Arial"/>
          <w:sz w:val="22"/>
          <w:szCs w:val="22"/>
        </w:rPr>
        <w:t xml:space="preserve"> CSF and blood biomarkers require specialized laboratory equipment and are costly, </w:t>
      </w:r>
      <w:r w:rsidRPr="00DD3983" w:rsidR="00CA38E9">
        <w:rPr>
          <w:rFonts w:ascii="Arial" w:hAnsi="Arial" w:cs="Arial"/>
          <w:sz w:val="22"/>
          <w:szCs w:val="22"/>
        </w:rPr>
        <w:t>limiting their accessibility</w:t>
      </w:r>
      <w:r w:rsidRPr="00DD3983" w:rsidR="001D6C69">
        <w:rPr>
          <w:rFonts w:ascii="Arial" w:hAnsi="Arial" w:cs="Arial"/>
          <w:sz w:val="22"/>
          <w:szCs w:val="22"/>
        </w:rPr>
        <w:t xml:space="preserve"> in many clinical settings</w:t>
      </w:r>
      <w:r w:rsidRPr="00DD3983" w:rsidR="00CA38E9">
        <w:rPr>
          <w:rFonts w:ascii="Arial" w:hAnsi="Arial" w:cs="Arial"/>
          <w:sz w:val="22"/>
          <w:szCs w:val="22"/>
        </w:rPr>
        <w:t>.</w:t>
      </w:r>
      <w:r w:rsidRPr="00DD3983" w:rsidR="00E623FE">
        <w:rPr>
          <w:rFonts w:ascii="Arial" w:hAnsi="Arial" w:cs="Arial"/>
          <w:sz w:val="22"/>
          <w:szCs w:val="22"/>
        </w:rPr>
        <w:fldChar w:fldCharType="begin"/>
      </w:r>
      <w:r w:rsidR="00025355">
        <w:rPr>
          <w:rFonts w:ascii="Arial" w:hAnsi="Arial" w:cs="Arial"/>
          <w:sz w:val="22"/>
          <w:szCs w:val="22"/>
        </w:rPr>
        <w:instrText xml:space="preserve"> ADDIN ZOTERO_ITEM CSL_CITATION {"citationID":"dH2glkIu","properties":{"formattedCitation":"\\super 39,39,51,52\\nosupersub{}","plainCitation":"39,39,51,52","noteIndex":0},"citationItems":[{"id":"7XVybpWP/y98r7ZfO","uris":["http://zotero.org/users/14808074/items/732AYDQL"],"itemData":{"id":1018,"type":"article-journal","abstract":"Over the last few years, intense research efforts have been made to anticipate or improve the diagnosis of Alzheimer's disease by detecting blood biomarkers. However, the most promising blood biomarkers identified to date have some limitations, most of them related to the techniques required for their detection. Hence, new blood biomarkers should be identified to improve the diagnosis of AD, better discriminate between AD and mild cognitive impairment (MCI) and identify cognitively unimpaired (CU) older individuals at risk for progression to AD. Our previous studies demonstrated that both the purinergic receptor P2X7 and the tissue-nonspecific alkaline phosphatase ectoenzyme (TNAP) are upregulated in the brains of AD patients. Since both proteins are also present in plasma, we investigated whether plasma P2X7R and TNAP are altered in MCI and AD patients and, if so, their potential role as AD biomarkers. We found that AD but not MCI patients present increased plasma P2X7R levels. Nevertheless, TNAP plasma activity was increased in MCI patients and decreased in the AD group. ROC curve analysis indicated that measuring both parameters has a reasonable discriminating capability to diagnose MCI and AD conditions. In addition to confirming that individuals progressing to MCI have increased TNAP activity in plasma, longitudinal studies also revealed that CU individuals have lower plasma TNAP activity than stable controls. Thus, we propose that P2X7 and TNAP could serve as new plasma biomarkers for MCI and AD.","container-title":"International Journal of Molecular Sciences","DOI":"10.3390/ijms241310897","ISSN":"1422-0067","issue":"13","journalAbbreviation":"Int J Mol Sci","language":"eng","note":"PMID: 37446074\nPMCID: PMC10342008","page":"10897","source":"PubMed","title":"TNAP and P2X7R: New Plasma Biomarkers for Alzheimer's Disease","title-short":"TNAP and P2X7R","volume":"24","author":[{"family":"Aivar","given":"Paloma"},{"family":"Bianchi","given":"Carolina"},{"family":"Di Lauro","given":"Caterina"},{"family":"Soria-Tobar","given":"Lucia"},{"family":"Alvarez-Castelao","given":"Beatriz"},{"family":"Calero","given":"Miguel"},{"family":"Medina","given":"Miguel"},{"family":"Diaz-Hernandez","given":"Miguel"}],"issued":{"date-parts":[["2023",6,30]]}}},{"id":"7XVybpWP/y98r7ZfO","uris":["http://zotero.org/users/14808074/items/732AYDQL"],"itemData":{"id":1018,"type":"article-journal","abstract":"Over the last few years, intense research efforts have been made to anticipate or improve the diagnosis of Alzheimer's disease by detecting blood biomarkers. However, the most promising blood biomarkers identified to date have some limitations, most of them related to the techniques required for their detection. Hence, new blood biomarkers should be identified to improve the diagnosis of AD, better discriminate between AD and mild cognitive impairment (MCI) and identify cognitively unimpaired (CU) older individuals at risk for progression to AD. Our previous studies demonstrated that both the purinergic receptor P2X7 and the tissue-nonspecific alkaline phosphatase ectoenzyme (TNAP) are upregulated in the brains of AD patients. Since both proteins are also present in plasma, we investigated whether plasma P2X7R and TNAP are altered in MCI and AD patients and, if so, their potential role as AD biomarkers. We found that AD but not MCI patients present increased plasma P2X7R levels. Nevertheless, TNAP plasma activity was increased in MCI patients and decreased in the AD group. ROC curve analysis indicated that measuring both parameters has a reasonable discriminating capability to diagnose MCI and AD conditions. In addition to confirming that individuals progressing to MCI have increased TNAP activity in plasma, longitudinal studies also revealed that CU individuals have lower plasma TNAP activity than stable controls. Thus, we propose that P2X7 and TNAP could serve as new plasma biomarkers for MCI and AD.","container-title":"International Journal of Molecular Sciences","DOI":"10.3390/ijms241310897","ISSN":"1422-0067","issue":"13","journalAbbreviation":"Int J Mol Sci","language":"eng","note":"PMID: 37446074\nPMCID: PMC10342008","page":"10897","source":"PubMed","title":"TNAP and P2X7R: New Plasma Biomarkers for Alzheimer's Disease","title-short":"TNAP and P2X7R","volume":"24","author":[{"family":"Aivar","given":"Paloma"},{"family":"Bianchi","given":"Carolina"},{"family":"Di Lauro","given":"Caterina"},{"family":"Soria-Tobar","given":"Lucia"},{"family":"Alvarez-Castelao","given":"Beatriz"},{"family":"Calero","given":"Miguel"},{"family":"Medina","given":"Miguel"},{"family":"Diaz-Hernandez","given":"Miguel"}],"issued":{"date-parts":[["2023",6,30]]}}},{"id":"7XVybpWP/vM8vcg3V","uris":["http://zotero.org/users/14808074/items/859M7YCE"],"itemData":{"id":1051,"type":"article-journal","abstract":"BACKGROUND: Alzheimer's disease (AD) biomarker tests can be ordered as part of the diagnostic workup of patients with mild cognitive impairment (MCI). Little is known about how patients with MCI and their care partners decide whether to pursue testing.\nOBJECTIVE: To examine factors that influence AD biomarker testing decisions among patients with MCI and their care partners.\nDESIGN: We performed structured research interviews with patients with MCI and their study partners to assess the importance of eight factors in the decision whether to undergo AD biomarker testing (6-point Likert scale; 1-extremely unimportant to 6-extremely important): cost, fear of testing procedures, learning if AD is the cause of cognitive problems, concern about health insurance, instructing future planning, informing treatment decisions, family members' opinions, and doctor recommendation.\nSETTING: Two researchers administered interviews with participants in-person (i.e., participant home, research center) or remotely (i.e., telephone, video-conference).\nPARTICIPANTS: We completed interviews with 65 patients with a diagnosis of MCI and 57 study partners, referred by dementia specialist clinicians from the University of California, Irvine health system.\nMEASUREMENTS: We used generalized estimating equations (GEE) to examine the mean importance of each factor among patients and study partners, and the mean difference in importance of each factor within dyads.\nRESULTS: One third of participants reported the patient had previously undergone AD biomarker testing. Fifty-five percent of patients and 65% of study partners who reported no previous testing indicated a desire for the patient to be tested. GEE analyses found that patients and study partners rated the following factors with highest importance: informing treatment decisions (mean score 5.29, 95% CI: 5.06, 5.52 for patients; mean score 5.56, 95% CI: 5.41, 5.72 for partners); doctor recommendation (4.94, 95% CI: 4.73, 5.15 for patients; 5.16, 95% CI: 4.97, 5.34 for partners); and instructing future planning (4.88, 95% CI: 4.59, 5.16 for patients; 5.11, 95% CI: 4.86, 5.35 for partners). High dyadic agreement was observed for all factors except fear of testing, which patients rated with lower importance than their study partners.\nCONCLUSIONS: Biomarker testing for AD in patients with MCI is a rapidly evolving practice and limited data exist on patient perspectives. In this study, most patients and their care partners were interested in testing to help inform treatment decisions and to plan for the future. Participants placed high importance on clinician recommendations for biomarker testing, highlighting the need for clear communication and education on the options, limitations, risks, and benefits of testing.","container-title":"The Journal of Prevention of Alzheimer's Disease","DOI":"10.14283/jpad.2024.10","ISSN":"2426-0266","issue":"2","journalAbbreviation":"J Prev Alzheimers Dis","language":"eng","note":"PMID: 38374734","page":"285-293","source":"PubMed","title":"Alzheimer's Disease Biomarker Decision-Making among Patients with Mild Cognitive Impairment and Their Care Partners","volume":"11","author":[{"family":"Cox","given":"C. G."},{"family":"Salazar","given":"C. R."},{"family":"Birnbaum","given":"A. I."},{"family":"Witbracht","given":"M."},{"family":"Tam","given":"S. P."},{"family":"Thai","given":"G. T."},{"family":"Sajjadi","given":"S. A."},{"family":"Gillen","given":"D. L."},{"family":"Grill","given":"J. D."}],"issued":{"date-parts":[["2024"]]}}},{"id":964,"uris":["http://zotero.org/groups/5623148/items/2JX6863Z"],"itemData":{"id":964,"type":"article-journal","abstract":"PURPOSEIn the last decade, the research community has focused on defining reliable biomarkers for the early detection of Alzheimer's disease (AD) pathology. In 2017, the Geneva AD Biomarker Roadmap Initiative adapted a framework for the systematic validation of oncological biomarkers to cerebrospinal fluid (CSF) AD biomarkers-encompassing the 42 amino-acid isoform of amyloid-β (Aβ42), phosphorylated-tau (P-tau), and Total-tau (T-tau)-with the aim to accelerate their development and clinical implementation. The aim of this work is to update the current validation status of CSF AD biomarkers based on the Biomarker Roadmap methodology.METHODSA panel of experts in AD biomarkers convened in November 2019 at a 2-day workshop in Geneva. The level of maturity (fully achieved, partly achieved, preliminary evidence, not achieved, unsuccessful) of CSF AD biomarkers was assessed based on the Biomarker Roadmap methodology before the meeting and presented and discussed during the workshop.RESULTSBy comparison to the previous 2017 Geneva Roadmap meeting, the primary advances in CSF AD biomarkers have been in the area of a unified protocol for CSF sampling, handling and storage, the introduction of certified reference methods and materials for Aβ42, and the introduction of fully automated assays. Additional advances have occurred in the form of defining thresholds for biomarker positivity and assessing the impact of covariates on their discriminatory ability.CONCLUSIONSThough much has been achieved for phases one through three, much work remains in phases four (real world performance) and five (assessment of impact/cost). To a large degree, this will depend on the availability of disease-modifying treatments for AD, given these will make accurate and generally available diagnostic tools key to initiate therapy.","archive":"MEDLINE®","archive_location":"2498483914; 33674895","container-title":"European journal of nuclear medicine and molecular imaging","DOI":"10.1007/s00259-021-05258-7","issue":"7","language":"English","page":"2121-2139","title":"2020 update on the clinical validity of cerebrospinal fluid amyloid, tau, and phospho-tau as biomarkers for Alzheimer's disease in the context of a structured 5-phase development framework.","volume":"48","author":[{"family":"Leuzy","given":"A"},{"family":"Ashton","given":"N J"},{"family":"Mattsson-Carlgren","given":"N"},{"family":"Dodich","given":"A"},{"family":"Boccardi","given":"M"},{"family":"Corre","given":"J"},{"family":"Drzezga","given":"A"},{"family":"Nordberg","given":"A"},{"family":"Ossenkoppele","given":"R"},{"family":"Zetterberg","given":"H"},{"family":"Blennow","given":"K"},{"family":"Frisoni","given":"G B"},{"family":"Garibotto","given":"V"},{"family":"Hansson","given":"O"}],"issued":{"date-parts":[["2021",7]]}}}],"schema":"https://github.com/citation-style-language/schema/raw/master/csl-citation.json"} </w:instrText>
      </w:r>
      <w:r w:rsidRPr="00DD3983" w:rsidR="00E623FE">
        <w:rPr>
          <w:rFonts w:ascii="Arial" w:hAnsi="Arial" w:cs="Arial"/>
          <w:sz w:val="22"/>
          <w:szCs w:val="22"/>
        </w:rPr>
        <w:fldChar w:fldCharType="separate"/>
      </w:r>
      <w:r w:rsidRPr="00025355" w:rsidR="00025355">
        <w:rPr>
          <w:rFonts w:ascii="Arial" w:hAnsi="Arial" w:cs="Arial"/>
          <w:sz w:val="22"/>
          <w:vertAlign w:val="superscript"/>
        </w:rPr>
        <w:t>39,39,51,52</w:t>
      </w:r>
      <w:r w:rsidRPr="00DD3983" w:rsidR="00E623FE">
        <w:rPr>
          <w:rFonts w:ascii="Arial" w:hAnsi="Arial" w:cs="Arial"/>
          <w:sz w:val="22"/>
          <w:szCs w:val="22"/>
        </w:rPr>
        <w:fldChar w:fldCharType="end"/>
      </w:r>
      <w:r w:rsidRPr="00DD3983" w:rsidR="00A0663E">
        <w:rPr>
          <w:rFonts w:ascii="Arial" w:hAnsi="Arial" w:cs="Arial"/>
          <w:sz w:val="22"/>
          <w:szCs w:val="22"/>
        </w:rPr>
        <w:t xml:space="preserve"> </w:t>
      </w:r>
      <w:r w:rsidRPr="00DD3983" w:rsidR="00967493">
        <w:rPr>
          <w:rFonts w:ascii="Arial" w:hAnsi="Arial" w:cs="Arial"/>
          <w:sz w:val="22"/>
          <w:szCs w:val="22"/>
        </w:rPr>
        <w:t>In addition, n</w:t>
      </w:r>
      <w:r w:rsidRPr="00DD3983" w:rsidR="003D1406">
        <w:rPr>
          <w:rFonts w:ascii="Arial" w:hAnsi="Arial" w:cs="Arial"/>
          <w:sz w:val="22"/>
          <w:szCs w:val="22"/>
        </w:rPr>
        <w:t xml:space="preserve">euroimaging techniques such as MRI and PET play a crucial role in AD diagnosis but </w:t>
      </w:r>
      <w:r w:rsidRPr="00DD3983" w:rsidR="00337236">
        <w:rPr>
          <w:rFonts w:ascii="Arial" w:hAnsi="Arial" w:cs="Arial"/>
          <w:sz w:val="22"/>
          <w:szCs w:val="22"/>
        </w:rPr>
        <w:t>require specialized laboratory equipment and are costly, making them inaccessible in many clinical settings</w:t>
      </w:r>
      <w:r w:rsidR="00C01756">
        <w:rPr>
          <w:rFonts w:ascii="Arial" w:hAnsi="Arial" w:cs="Arial"/>
          <w:sz w:val="22"/>
          <w:szCs w:val="22"/>
        </w:rPr>
        <w:t>.</w:t>
      </w:r>
      <w:r w:rsidRPr="00DD3983" w:rsidR="003D1406">
        <w:rPr>
          <w:rFonts w:ascii="Arial" w:hAnsi="Arial" w:cs="Arial"/>
          <w:sz w:val="22"/>
          <w:szCs w:val="22"/>
        </w:rPr>
        <w:fldChar w:fldCharType="begin"/>
      </w:r>
      <w:r w:rsidR="00025355">
        <w:rPr>
          <w:rFonts w:ascii="Arial" w:hAnsi="Arial" w:cs="Arial"/>
          <w:sz w:val="22"/>
          <w:szCs w:val="22"/>
        </w:rPr>
        <w:instrText xml:space="preserve"> ADDIN ZOTERO_ITEM CSL_CITATION {"citationID":"jiohKrNv","properties":{"formattedCitation":"\\super 34,53,54\\nosupersub{}","plainCitation":"34,53,54","noteIndex":0},"citationItems":[{"id":"7XVybpWP/hi9kRHdp","uris":["http://zotero.org/users/14808074/items/5C3RS85B"],"itemData":{"id":952,"type":"webpage","title":"Frontiers | Utilizing portable electroencephalography to screen for pathology of Alzheimer’s disease: a methodological advancement in diagnosis of neurodegenerative diseases","URL":"https://www.frontiersin.org/journals/psychiatry/articles/10.3389/fpsyt.2024.1392158/full","accessed":{"date-parts":[["2025",3,12]]}}},{"id":"7XVybpWP/DHSmIXIp","uris":["http://zotero.org/users/14808074/items/Q3BNSRRN"],"itemData":{"id":946,"type":"article-journal","abstract":"BACKGROUND: Medial temporal lobe atrophy (MTA) is a diagnostic marker for mild cognitive impairment (MCI) and Alzheimer's disease (AD), but the accuracy of quantitative MTA (QMTA) in diagnosing early AD is unclear. This study aimed to investigate the accuracy of QMTA and its related components (inferior lateral ventricle [ILV] and hippocampus) with MTA in the early diagnosis of MCI and AD.\nMETHODS: This study included four groups: normal (NC), MCI stable (MCIs), MCI converted to AD (MCIs), and mild AD (M-AD) groups. Magnetic resonance image analysis software was used to quantify the hippocampus, ILV, and QMTA. MTA was rated by two experienced neurologists. Receiver operating characteristic area under the curve (AUC) analysis was performed to compare their capability in differentiating AD from NC and MCI, and optimal thresholds were determined using the Youden index.\nRESULTS: QMTA distinguished M-AD from NC and MCI with higher diagnostic accuracy than MTA, hippocampus, and ILV (AUCNC = 0.976, AUCMCI = 0.836, AUCMCIs = 0.894, AUCMCIc = 0.730). The diagnostic accuracy of QMTA was superior to that of MTA, the hippocampus, and ILV in differentiating MCI from AD. The diagnostic accuracy of QMTA was found to remain the best across age, sex, and pathological subgroups analyzed. The sensitivity (92.45%) and specificity (90.64%) were higher in this study when a cutoff value of 0.635 was chosen for QMTA.\nCONCLUSIONS: QMTA may be a better choice than the MTA scale or the associated quantitative components alone in identifying AD patients and MCI individuals with higher progression risk.","container-title":"CNS neuroscience &amp; therapeutics","DOI":"10.1111/cns.14492","ISSN":"1755-5949","issue":"4","journalAbbreviation":"CNS Neurosci Ther","language":"eng","note":"PMID: 37864441\nPMCID: PMC11017425","page":"e14492","source":"PubMed","title":"The role of visual rating and automated brain volumetry in early detection and differential diagnosis of Alzheimer's disease","volume":"30","author":[{"family":"Mai","given":"Yingren"},{"family":"Cao","given":"Zhiyu"},{"family":"Zhao","given":"Lei"},{"family":"Yu","given":"Qun"},{"family":"Xu","given":"Jiaxin"},{"family":"Liu","given":"Wenyan"},{"family":"Liu","given":"Bowen"},{"family":"Tang","given":"Jingyi"},{"family":"Luo","given":"Yishan"},{"family":"Liao","given":"Wang"},{"family":"Fang","given":"Wenli"},{"family":"Ruan","given":"Yuting"},{"family":"Lei","given":"Ming"},{"family":"Mok","given":"Vincent C. T."},{"family":"Shi","given":"Lin"},{"family":"Liu","given":"Jun"},{"literal":"Alzheimer's Disease Neuroimaging Initiative"}],"issued":{"date-parts":[["2024",4]]}}},{"id":"7XVybpWP/tUhQZ36H","uris":["http://zotero.org/users/14808074/items/I5UDKSQZ"],"itemData":{"id":949,"type":"article-journal","abstract":"PET based tools can improve the early diagnosis of Alzheimer's disease (AD) and differential diagnosis of dementia. The importance of identifying individuals at risk of developing dementia among people with subjective cognitive complaints or mild cognitive impairment has clinical, social, and therapeutic implications. Within the two major classes of AD biomarkers currently identified, that is, markers of pathology and neurodegeneration, amyloid- and FDG-PET imaging represent decisive tools for their measurement. As a consequence, the PET tools have been recognized to be of crucial value in the recent guidelines for the early diagnosis of AD and other dementia conditions. The references based recommendations, however, include large PET imaging literature based on visual methods that greatly reduces sensitivity and specificity and lacks a clear cut-off between normal and pathological findings. PET imaging can be assessed using parametric or voxel-wise analyses by comparing the subject's scan with a normative data set, significantly increasing the diagnostic accuracy. This paper is a survey of the relevant literature on FDG and amyloid-PET imaging aimed at providing the value of quantification for the early and differential diagnosis of AD. This allowed a meta-analysis and GRADE analysis revealing high values for PET imaging that might be useful in considering recommendations.","container-title":"BioMed Research International","DOI":"10.1155/2014/785039","ISSN":"2314-6141","journalAbbreviation":"Biomed Res Int","language":"eng","note":"PMID: 24772437\nPMCID: PMC3977528","page":"785039","source":"PubMed","title":"A survey of FDG- and amyloid-PET imaging in dementia and GRADE analysis","volume":"2014","author":[{"family":"Perani","given":"Daniela"},{"family":"Schillaci","given":"Orazio"},{"family":"Padovani","given":"Alessandro"},{"family":"Nobili","given":"Flavio Mariano"},{"family":"Iaccarino","given":"Leonardo"},{"family":"Della Rosa","given":"Pasquale Anthony"},{"family":"Frisoni","given":"Giovanni"},{"family":"Caltagirone","given":"Carlo"}],"issued":{"date-parts":[["2014"]]}}}],"schema":"https://github.com/citation-style-language/schema/raw/master/csl-citation.json"} </w:instrText>
      </w:r>
      <w:r w:rsidRPr="00DD3983" w:rsidR="003D1406">
        <w:rPr>
          <w:rFonts w:ascii="Arial" w:hAnsi="Arial" w:cs="Arial"/>
          <w:sz w:val="22"/>
          <w:szCs w:val="22"/>
        </w:rPr>
        <w:fldChar w:fldCharType="separate"/>
      </w:r>
      <w:r w:rsidRPr="00025355" w:rsidR="00025355">
        <w:rPr>
          <w:rFonts w:ascii="Arial" w:hAnsi="Arial" w:cs="Arial"/>
          <w:sz w:val="22"/>
          <w:vertAlign w:val="superscript"/>
        </w:rPr>
        <w:t>34,53,54</w:t>
      </w:r>
      <w:r w:rsidRPr="00DD3983" w:rsidR="003D1406">
        <w:rPr>
          <w:rFonts w:ascii="Arial" w:hAnsi="Arial" w:cs="Arial"/>
          <w:sz w:val="22"/>
          <w:szCs w:val="22"/>
        </w:rPr>
        <w:fldChar w:fldCharType="end"/>
      </w:r>
      <w:r w:rsidRPr="00DD3983" w:rsidR="003D1406">
        <w:rPr>
          <w:rFonts w:ascii="Arial" w:hAnsi="Arial" w:cs="Arial"/>
          <w:sz w:val="22"/>
          <w:szCs w:val="22"/>
        </w:rPr>
        <w:t xml:space="preserve"> </w:t>
      </w:r>
      <w:r w:rsidRPr="00DD3983" w:rsidR="00BF31B9">
        <w:rPr>
          <w:rFonts w:ascii="Arial" w:hAnsi="Arial" w:cs="Arial"/>
          <w:sz w:val="22"/>
          <w:szCs w:val="22"/>
        </w:rPr>
        <w:t xml:space="preserve">PET imaging, </w:t>
      </w:r>
      <w:r w:rsidRPr="00DD3983" w:rsidR="0025709D">
        <w:rPr>
          <w:rFonts w:ascii="Arial" w:hAnsi="Arial" w:cs="Arial"/>
          <w:sz w:val="22"/>
          <w:szCs w:val="22"/>
        </w:rPr>
        <w:t xml:space="preserve">in particular, </w:t>
      </w:r>
      <w:r w:rsidRPr="00DD3983" w:rsidR="00051AA1">
        <w:rPr>
          <w:rFonts w:ascii="Arial" w:hAnsi="Arial" w:cs="Arial"/>
          <w:sz w:val="22"/>
          <w:szCs w:val="22"/>
        </w:rPr>
        <w:t xml:space="preserve">although </w:t>
      </w:r>
      <w:r w:rsidRPr="00DD3983" w:rsidR="00BF31B9">
        <w:rPr>
          <w:rFonts w:ascii="Arial" w:hAnsi="Arial" w:cs="Arial"/>
          <w:sz w:val="22"/>
          <w:szCs w:val="22"/>
        </w:rPr>
        <w:t>highly informative, is expensive and not widely available, restricting its use to specialized research centers</w:t>
      </w:r>
      <w:r w:rsidR="00C01756">
        <w:rPr>
          <w:rFonts w:ascii="Arial" w:hAnsi="Arial" w:cs="Arial"/>
          <w:sz w:val="22"/>
          <w:szCs w:val="22"/>
        </w:rPr>
        <w:t>.</w:t>
      </w:r>
      <w:r w:rsidRPr="00DD3983" w:rsidR="00010833">
        <w:rPr>
          <w:rFonts w:ascii="Arial" w:hAnsi="Arial" w:cs="Arial"/>
          <w:sz w:val="22"/>
          <w:szCs w:val="22"/>
        </w:rPr>
        <w:fldChar w:fldCharType="begin"/>
      </w:r>
      <w:r w:rsidR="00025355">
        <w:rPr>
          <w:rFonts w:ascii="Arial" w:hAnsi="Arial" w:cs="Arial"/>
          <w:sz w:val="22"/>
          <w:szCs w:val="22"/>
        </w:rPr>
        <w:instrText xml:space="preserve"> ADDIN ZOTERO_ITEM CSL_CITATION {"citationID":"5Xbhz501","properties":{"formattedCitation":"\\super 33,34\\nosupersub{}","plainCitation":"33,34","noteIndex":0},"citationItems":[{"id":"7XVybpWP/CXL73vw0","uris":["http://zotero.org/users/14808074/items/7XT8RE24"],"itemData":{"id":962,"type":"webpage","title":"Neuroimaging modalities in the detection of Alzheimer's disease-associated biomarkers | Psychoradiology | Oxford Academic","URL":"https://academic.oup.com/psyrad/article/doi/10.1093/psyrad/kkad009/7205306","accessed":{"date-parts":[["2025",3,12]]}}},{"id":"7XVybpWP/tUhQZ36H","uris":["http://zotero.org/users/14808074/items/I5UDKSQZ"],"itemData":{"id":949,"type":"article-journal","abstract":"PET based tools can improve the early diagnosis of Alzheimer's disease (AD) and differential diagnosis of dementia. The importance of identifying individuals at risk of developing dementia among people with subjective cognitive complaints or mild cognitive impairment has clinical, social, and therapeutic implications. Within the two major classes of AD biomarkers currently identified, that is, markers of pathology and neurodegeneration, amyloid- and FDG-PET imaging represent decisive tools for their measurement. As a consequence, the PET tools have been recognized to be of crucial value in the recent guidelines for the early diagnosis of AD and other dementia conditions. The references based recommendations, however, include large PET imaging literature based on visual methods that greatly reduces sensitivity and specificity and lacks a clear cut-off between normal and pathological findings. PET imaging can be assessed using parametric or voxel-wise analyses by comparing the subject's scan with a normative data set, significantly increasing the diagnostic accuracy. This paper is a survey of the relevant literature on FDG and amyloid-PET imaging aimed at providing the value of quantification for the early and differential diagnosis of AD. This allowed a meta-analysis and GRADE analysis revealing high values for PET imaging that might be useful in considering recommendations.","container-title":"BioMed Research International","DOI":"10.1155/2014/785039","ISSN":"2314-6141","journalAbbreviation":"Biomed Res Int","language":"eng","note":"PMID: 24772437\nPMCID: PMC3977528","page":"785039","source":"PubMed","title":"A survey of FDG- and amyloid-PET imaging in dementia and GRADE analysis","volume":"2014","author":[{"family":"Perani","given":"Daniela"},{"family":"Schillaci","given":"Orazio"},{"family":"Padovani","given":"Alessandro"},{"family":"Nobili","given":"Flavio Mariano"},{"family":"Iaccarino","given":"Leonardo"},{"family":"Della Rosa","given":"Pasquale Anthony"},{"family":"Frisoni","given":"Giovanni"},{"family":"Caltagirone","given":"Carlo"}],"issued":{"date-parts":[["2014"]]}}}],"schema":"https://github.com/citation-style-language/schema/raw/master/csl-citation.json"} </w:instrText>
      </w:r>
      <w:r w:rsidRPr="00DD3983" w:rsidR="00010833">
        <w:rPr>
          <w:rFonts w:ascii="Arial" w:hAnsi="Arial" w:cs="Arial"/>
          <w:sz w:val="22"/>
          <w:szCs w:val="22"/>
        </w:rPr>
        <w:fldChar w:fldCharType="separate"/>
      </w:r>
      <w:r w:rsidRPr="00025355" w:rsidR="00025355">
        <w:rPr>
          <w:rFonts w:ascii="Arial" w:hAnsi="Arial" w:cs="Arial"/>
          <w:sz w:val="22"/>
          <w:vertAlign w:val="superscript"/>
        </w:rPr>
        <w:t>33,34</w:t>
      </w:r>
      <w:r w:rsidRPr="00DD3983" w:rsidR="00010833">
        <w:rPr>
          <w:rFonts w:ascii="Arial" w:hAnsi="Arial" w:cs="Arial"/>
          <w:sz w:val="22"/>
          <w:szCs w:val="22"/>
        </w:rPr>
        <w:fldChar w:fldCharType="end"/>
      </w:r>
    </w:p>
    <w:p w:rsidRPr="00F6306A" w:rsidR="00F6306A" w:rsidP="00F6306A" w:rsidRDefault="00F6306A" w14:paraId="04B21845" w14:textId="77777777">
      <w:pPr>
        <w:pStyle w:val="NormalWeb"/>
        <w:spacing w:before="0" w:beforeAutospacing="0" w:after="80" w:afterAutospacing="0"/>
        <w:jc w:val="both"/>
        <w:rPr>
          <w:rFonts w:ascii="Arial" w:hAnsi="Arial" w:cs="Arial" w:eastAsiaTheme="majorEastAsia"/>
          <w:sz w:val="22"/>
          <w:szCs w:val="22"/>
        </w:rPr>
      </w:pPr>
    </w:p>
    <w:p w:rsidRPr="000F46B7" w:rsidR="00A03988" w:rsidP="00680402" w:rsidRDefault="00A03988" w14:paraId="293255D6" w14:textId="016B841C">
      <w:pPr>
        <w:pStyle w:val="Heading2"/>
        <w:spacing w:before="0"/>
        <w:rPr>
          <w:rFonts w:cs="Arial"/>
          <w:sz w:val="22"/>
          <w:szCs w:val="22"/>
        </w:rPr>
      </w:pPr>
      <w:bookmarkStart w:name="_Toc183482294" w:id="0"/>
      <w:r w:rsidRPr="000F46B7">
        <w:t>Neuropsycholo</w:t>
      </w:r>
      <w:r>
        <w:t>g</w:t>
      </w:r>
      <w:bookmarkEnd w:id="0"/>
      <w:r w:rsidR="00E52BB8">
        <w:t>y</w:t>
      </w:r>
    </w:p>
    <w:p w:rsidRPr="00DD3983" w:rsidR="000660C6" w:rsidP="00680402" w:rsidRDefault="004E31CC" w14:paraId="5AA75359" w14:textId="51C2D02F">
      <w:pPr>
        <w:pStyle w:val="NormalWeb"/>
        <w:spacing w:before="0" w:beforeAutospacing="0"/>
        <w:jc w:val="both"/>
        <w:rPr>
          <w:rFonts w:ascii="Arial" w:hAnsi="Arial" w:cs="Arial"/>
          <w:sz w:val="22"/>
          <w:szCs w:val="22"/>
        </w:rPr>
      </w:pPr>
      <w:r w:rsidRPr="00DD3983">
        <w:rPr>
          <w:rFonts w:ascii="Arial" w:hAnsi="Arial" w:cs="Arial"/>
          <w:sz w:val="22"/>
          <w:szCs w:val="22"/>
        </w:rPr>
        <w:t xml:space="preserve">Of </w:t>
      </w:r>
      <w:r w:rsidR="00012586">
        <w:rPr>
          <w:rFonts w:ascii="Arial" w:hAnsi="Arial" w:cs="Arial"/>
          <w:sz w:val="22"/>
          <w:szCs w:val="22"/>
        </w:rPr>
        <w:t>literature</w:t>
      </w:r>
      <w:r w:rsidRPr="00DD3983">
        <w:rPr>
          <w:rFonts w:ascii="Arial" w:hAnsi="Arial" w:cs="Arial"/>
          <w:sz w:val="22"/>
          <w:szCs w:val="22"/>
        </w:rPr>
        <w:t xml:space="preserve"> related to</w:t>
      </w:r>
      <w:r w:rsidRPr="00DD3983" w:rsidR="00171974">
        <w:rPr>
          <w:rFonts w:ascii="Arial" w:hAnsi="Arial" w:cs="Arial"/>
          <w:sz w:val="22"/>
          <w:szCs w:val="22"/>
        </w:rPr>
        <w:t xml:space="preserve"> </w:t>
      </w:r>
      <w:proofErr w:type="gramStart"/>
      <w:r w:rsidRPr="00DD3983" w:rsidR="00212F9C">
        <w:rPr>
          <w:rFonts w:ascii="Arial" w:hAnsi="Arial" w:cs="Arial"/>
          <w:sz w:val="22"/>
          <w:szCs w:val="22"/>
        </w:rPr>
        <w:t>the neuropsychological</w:t>
      </w:r>
      <w:proofErr w:type="gramEnd"/>
      <w:r w:rsidRPr="00DD3983" w:rsidR="00171974">
        <w:rPr>
          <w:rFonts w:ascii="Arial" w:hAnsi="Arial" w:cs="Arial"/>
          <w:sz w:val="22"/>
          <w:szCs w:val="22"/>
        </w:rPr>
        <w:t xml:space="preserve"> discipline,</w:t>
      </w:r>
      <w:r w:rsidRPr="00DD3983" w:rsidR="004A58F1">
        <w:rPr>
          <w:rFonts w:ascii="Arial" w:hAnsi="Arial" w:cs="Arial"/>
          <w:sz w:val="22"/>
          <w:szCs w:val="22"/>
        </w:rPr>
        <w:t xml:space="preserve"> </w:t>
      </w:r>
      <w:r w:rsidRPr="00DD3983" w:rsidR="009F6E45">
        <w:rPr>
          <w:rFonts w:ascii="Arial" w:hAnsi="Arial" w:cs="Arial"/>
          <w:sz w:val="22"/>
          <w:szCs w:val="22"/>
        </w:rPr>
        <w:t>articles</w:t>
      </w:r>
      <w:r w:rsidRPr="00DD3983" w:rsidR="004A58F1">
        <w:rPr>
          <w:rFonts w:ascii="Arial" w:hAnsi="Arial" w:cs="Arial"/>
          <w:sz w:val="22"/>
          <w:szCs w:val="22"/>
        </w:rPr>
        <w:t xml:space="preserve"> were found to </w:t>
      </w:r>
      <w:r w:rsidRPr="00DD3983" w:rsidR="00212F9C">
        <w:rPr>
          <w:rFonts w:ascii="Arial" w:hAnsi="Arial" w:cs="Arial"/>
          <w:sz w:val="22"/>
          <w:szCs w:val="22"/>
        </w:rPr>
        <w:t>discuss</w:t>
      </w:r>
      <w:r w:rsidRPr="00DD3983" w:rsidR="008026B7">
        <w:rPr>
          <w:rFonts w:ascii="Arial" w:hAnsi="Arial" w:cs="Arial"/>
          <w:sz w:val="22"/>
          <w:szCs w:val="22"/>
        </w:rPr>
        <w:t xml:space="preserve"> primarily </w:t>
      </w:r>
      <w:r w:rsidRPr="00DD3983" w:rsidR="00F56BB2">
        <w:rPr>
          <w:rFonts w:ascii="Arial" w:hAnsi="Arial" w:cs="Arial"/>
          <w:sz w:val="22"/>
          <w:szCs w:val="22"/>
        </w:rPr>
        <w:t>the</w:t>
      </w:r>
      <w:r w:rsidRPr="00DD3983" w:rsidR="00F806A7">
        <w:rPr>
          <w:rFonts w:ascii="Arial" w:hAnsi="Arial" w:cs="Arial"/>
          <w:sz w:val="22"/>
          <w:szCs w:val="22"/>
        </w:rPr>
        <w:t xml:space="preserve"> </w:t>
      </w:r>
      <w:r w:rsidRPr="00DD3983" w:rsidR="00974F2A">
        <w:rPr>
          <w:rFonts w:ascii="Arial" w:hAnsi="Arial" w:cs="Arial"/>
          <w:sz w:val="22"/>
          <w:szCs w:val="22"/>
        </w:rPr>
        <w:t xml:space="preserve">utility, validation, and </w:t>
      </w:r>
      <w:r w:rsidRPr="00DD3983" w:rsidR="00AA145C">
        <w:rPr>
          <w:rFonts w:ascii="Arial" w:hAnsi="Arial" w:cs="Arial"/>
          <w:sz w:val="22"/>
          <w:szCs w:val="22"/>
        </w:rPr>
        <w:t>implementation of cognitive assessments</w:t>
      </w:r>
      <w:r w:rsidRPr="00DD3983" w:rsidR="00250295">
        <w:rPr>
          <w:rFonts w:ascii="Arial" w:hAnsi="Arial" w:cs="Arial"/>
          <w:sz w:val="22"/>
          <w:szCs w:val="22"/>
        </w:rPr>
        <w:t xml:space="preserve"> covering</w:t>
      </w:r>
      <w:r w:rsidRPr="00DD3983" w:rsidR="004A58F1">
        <w:rPr>
          <w:rFonts w:ascii="Arial" w:hAnsi="Arial" w:cs="Arial"/>
          <w:sz w:val="22"/>
          <w:szCs w:val="22"/>
        </w:rPr>
        <w:t xml:space="preserve"> </w:t>
      </w:r>
      <w:r w:rsidRPr="00DD3983" w:rsidR="00D120C0">
        <w:rPr>
          <w:rFonts w:ascii="Arial" w:hAnsi="Arial" w:cs="Arial"/>
          <w:sz w:val="22"/>
          <w:szCs w:val="22"/>
        </w:rPr>
        <w:t xml:space="preserve">34 different types of cognitive assessments or </w:t>
      </w:r>
      <w:r w:rsidRPr="00DD3983" w:rsidR="00212F9C">
        <w:rPr>
          <w:rFonts w:ascii="Arial" w:hAnsi="Arial" w:cs="Arial"/>
          <w:sz w:val="22"/>
          <w:szCs w:val="22"/>
        </w:rPr>
        <w:t xml:space="preserve">psychometric </w:t>
      </w:r>
      <w:r w:rsidRPr="00DD3983" w:rsidR="00D120C0">
        <w:rPr>
          <w:rFonts w:ascii="Arial" w:hAnsi="Arial" w:cs="Arial"/>
          <w:sz w:val="22"/>
          <w:szCs w:val="22"/>
        </w:rPr>
        <w:t>tests</w:t>
      </w:r>
      <w:r w:rsidRPr="00DD3983" w:rsidR="00D91E8A">
        <w:rPr>
          <w:rFonts w:ascii="Arial" w:hAnsi="Arial" w:cs="Arial"/>
          <w:sz w:val="22"/>
          <w:szCs w:val="22"/>
        </w:rPr>
        <w:t xml:space="preserve"> that are utilized globally</w:t>
      </w:r>
      <w:r w:rsidRPr="00DD3983" w:rsidR="00926A2F">
        <w:rPr>
          <w:rFonts w:ascii="Arial" w:hAnsi="Arial" w:cs="Arial"/>
          <w:sz w:val="22"/>
          <w:szCs w:val="22"/>
        </w:rPr>
        <w:t xml:space="preserve">. </w:t>
      </w:r>
      <w:r w:rsidRPr="00DD3983" w:rsidR="003705E7">
        <w:rPr>
          <w:rFonts w:ascii="Arial" w:hAnsi="Arial" w:cs="Arial"/>
          <w:sz w:val="22"/>
          <w:szCs w:val="22"/>
        </w:rPr>
        <w:t xml:space="preserve">When analyzed these articles revealed </w:t>
      </w:r>
      <w:r w:rsidRPr="00DD3983" w:rsidR="000C71B3">
        <w:rPr>
          <w:rFonts w:ascii="Arial" w:hAnsi="Arial" w:cs="Arial"/>
          <w:sz w:val="22"/>
          <w:szCs w:val="22"/>
        </w:rPr>
        <w:t>four</w:t>
      </w:r>
      <w:r w:rsidRPr="00DD3983" w:rsidR="00171974">
        <w:rPr>
          <w:rFonts w:ascii="Arial" w:hAnsi="Arial" w:cs="Arial"/>
          <w:sz w:val="22"/>
          <w:szCs w:val="22"/>
        </w:rPr>
        <w:t xml:space="preserve"> primary sources of barriers were identified</w:t>
      </w:r>
      <w:r w:rsidRPr="00DD3983" w:rsidR="00973860">
        <w:rPr>
          <w:rFonts w:ascii="Arial" w:hAnsi="Arial" w:cs="Arial"/>
          <w:sz w:val="22"/>
          <w:szCs w:val="22"/>
        </w:rPr>
        <w:t xml:space="preserve"> </w:t>
      </w:r>
      <w:r w:rsidRPr="00DD3983" w:rsidR="001006F2">
        <w:rPr>
          <w:rFonts w:ascii="Arial" w:hAnsi="Arial" w:cs="Arial"/>
          <w:sz w:val="22"/>
          <w:szCs w:val="22"/>
        </w:rPr>
        <w:t xml:space="preserve">as </w:t>
      </w:r>
      <w:r w:rsidRPr="00DD3983" w:rsidR="00973860">
        <w:rPr>
          <w:rFonts w:ascii="Arial" w:hAnsi="Arial" w:cs="Arial"/>
          <w:sz w:val="22"/>
          <w:szCs w:val="22"/>
        </w:rPr>
        <w:t xml:space="preserve">being; </w:t>
      </w:r>
      <w:r w:rsidRPr="00DD3983" w:rsidR="003E3FB9">
        <w:rPr>
          <w:rFonts w:ascii="Arial" w:hAnsi="Arial" w:cs="Arial"/>
          <w:sz w:val="22"/>
          <w:szCs w:val="22"/>
        </w:rPr>
        <w:t>Inadequate</w:t>
      </w:r>
      <w:r w:rsidRPr="00DD3983" w:rsidR="004A2832">
        <w:rPr>
          <w:rFonts w:ascii="Arial" w:hAnsi="Arial" w:cs="Arial"/>
          <w:sz w:val="22"/>
          <w:szCs w:val="22"/>
        </w:rPr>
        <w:t xml:space="preserve"> accuracy for MCI detection, </w:t>
      </w:r>
      <w:r w:rsidRPr="00DD3983" w:rsidR="000E6F1D">
        <w:rPr>
          <w:rFonts w:ascii="Arial" w:hAnsi="Arial" w:cs="Arial"/>
          <w:sz w:val="22"/>
          <w:szCs w:val="22"/>
        </w:rPr>
        <w:t xml:space="preserve">Inadequate generalizability, </w:t>
      </w:r>
      <w:r w:rsidRPr="00DD3983" w:rsidR="005B63A5">
        <w:rPr>
          <w:rFonts w:ascii="Arial" w:hAnsi="Arial" w:cs="Arial"/>
          <w:sz w:val="22"/>
          <w:szCs w:val="22"/>
        </w:rPr>
        <w:t>conceptual barriers</w:t>
      </w:r>
      <w:r w:rsidRPr="00DD3983" w:rsidR="002C0AB4">
        <w:rPr>
          <w:rFonts w:ascii="Arial" w:hAnsi="Arial" w:cs="Arial"/>
          <w:sz w:val="22"/>
          <w:szCs w:val="22"/>
        </w:rPr>
        <w:t>, and</w:t>
      </w:r>
      <w:r w:rsidRPr="00DD3983" w:rsidR="0057171C">
        <w:rPr>
          <w:rFonts w:ascii="Arial" w:hAnsi="Arial" w:cs="Arial"/>
          <w:sz w:val="22"/>
          <w:szCs w:val="22"/>
        </w:rPr>
        <w:t xml:space="preserve"> </w:t>
      </w:r>
      <w:r w:rsidRPr="00DD3983" w:rsidR="002C2C0F">
        <w:rPr>
          <w:rFonts w:ascii="Arial" w:hAnsi="Arial" w:cs="Arial"/>
          <w:sz w:val="22"/>
          <w:szCs w:val="22"/>
        </w:rPr>
        <w:t>barriers related to test administration.</w:t>
      </w:r>
    </w:p>
    <w:p w:rsidRPr="00595CC0" w:rsidR="002325F2" w:rsidP="00680402" w:rsidRDefault="00362993" w14:paraId="0E1893D8" w14:textId="43536A0E">
      <w:pPr>
        <w:pStyle w:val="Heading3"/>
        <w:spacing w:before="0" w:after="0"/>
        <w:rPr>
          <w:rFonts w:cs="Arial"/>
          <w:iCs/>
          <w:sz w:val="22"/>
          <w:szCs w:val="22"/>
        </w:rPr>
      </w:pPr>
      <w:r w:rsidRPr="00595CC0">
        <w:rPr>
          <w:iCs/>
        </w:rPr>
        <w:t xml:space="preserve">Inadequate Accuracy of Cognitive </w:t>
      </w:r>
      <w:r w:rsidRPr="00595CC0" w:rsidR="00CC5C28">
        <w:rPr>
          <w:rFonts w:cs="Arial"/>
          <w:iCs/>
          <w:sz w:val="22"/>
          <w:szCs w:val="22"/>
        </w:rPr>
        <w:t>A</w:t>
      </w:r>
      <w:r w:rsidRPr="00595CC0">
        <w:rPr>
          <w:rFonts w:cs="Arial"/>
          <w:iCs/>
          <w:sz w:val="22"/>
          <w:szCs w:val="22"/>
        </w:rPr>
        <w:t>ssessments for MCI</w:t>
      </w:r>
    </w:p>
    <w:p w:rsidR="00CC34F0" w:rsidP="00680402" w:rsidRDefault="002325F2" w14:paraId="351E8353" w14:textId="780114D4">
      <w:pPr>
        <w:pStyle w:val="NormalWeb"/>
        <w:spacing w:before="0" w:beforeAutospacing="0" w:after="0" w:afterAutospacing="0"/>
        <w:jc w:val="both"/>
        <w:rPr>
          <w:rFonts w:ascii="Arial" w:hAnsi="Arial" w:cs="Arial"/>
          <w:sz w:val="22"/>
          <w:szCs w:val="22"/>
        </w:rPr>
      </w:pPr>
      <w:r w:rsidRPr="00DD3983">
        <w:rPr>
          <w:rFonts w:ascii="Arial" w:hAnsi="Arial" w:cs="Arial"/>
          <w:sz w:val="22"/>
          <w:szCs w:val="22"/>
        </w:rPr>
        <w:t xml:space="preserve">Although </w:t>
      </w:r>
      <w:r w:rsidRPr="00DD3983" w:rsidR="004D06A0">
        <w:rPr>
          <w:rFonts w:ascii="Arial" w:hAnsi="Arial" w:cs="Arial"/>
          <w:sz w:val="22"/>
          <w:szCs w:val="22"/>
        </w:rPr>
        <w:t>cognitive</w:t>
      </w:r>
      <w:r w:rsidRPr="00DD3983">
        <w:rPr>
          <w:rFonts w:ascii="Arial" w:hAnsi="Arial" w:cs="Arial"/>
          <w:sz w:val="22"/>
          <w:szCs w:val="22"/>
        </w:rPr>
        <w:t xml:space="preserve"> tests are diverse and offer a number of differences,</w:t>
      </w:r>
      <w:r w:rsidRPr="00DD3983" w:rsidR="004C59E6">
        <w:rPr>
          <w:rFonts w:ascii="Arial" w:hAnsi="Arial" w:cs="Arial"/>
          <w:sz w:val="22"/>
          <w:szCs w:val="22"/>
        </w:rPr>
        <w:t xml:space="preserve"> </w:t>
      </w:r>
      <w:r w:rsidRPr="00DD3983" w:rsidR="0013175C">
        <w:rPr>
          <w:rFonts w:ascii="Arial" w:hAnsi="Arial" w:cs="Arial"/>
          <w:sz w:val="22"/>
          <w:szCs w:val="22"/>
        </w:rPr>
        <w:t>they</w:t>
      </w:r>
      <w:r w:rsidRPr="00DD3983" w:rsidR="00C14D9E">
        <w:rPr>
          <w:rFonts w:ascii="Arial" w:hAnsi="Arial" w:cs="Arial"/>
          <w:sz w:val="22"/>
          <w:szCs w:val="22"/>
        </w:rPr>
        <w:t xml:space="preserve"> </w:t>
      </w:r>
      <w:r w:rsidRPr="00DD3983" w:rsidR="00E96298">
        <w:rPr>
          <w:rFonts w:ascii="Arial" w:hAnsi="Arial" w:cs="Arial"/>
          <w:sz w:val="22"/>
          <w:szCs w:val="22"/>
        </w:rPr>
        <w:t xml:space="preserve">have </w:t>
      </w:r>
      <w:r w:rsidRPr="00DD3983" w:rsidR="00C02381">
        <w:rPr>
          <w:rFonts w:ascii="Arial" w:hAnsi="Arial" w:cs="Arial"/>
          <w:sz w:val="22"/>
          <w:szCs w:val="22"/>
        </w:rPr>
        <w:t xml:space="preserve">a shared </w:t>
      </w:r>
      <w:r w:rsidRPr="00DD3983" w:rsidR="00E96298">
        <w:rPr>
          <w:rFonts w:ascii="Arial" w:hAnsi="Arial" w:cs="Arial"/>
          <w:sz w:val="22"/>
          <w:szCs w:val="22"/>
        </w:rPr>
        <w:t xml:space="preserve">difficulty </w:t>
      </w:r>
      <w:r w:rsidRPr="00DD3983" w:rsidR="00715D04">
        <w:rPr>
          <w:rFonts w:ascii="Arial" w:hAnsi="Arial" w:cs="Arial"/>
          <w:sz w:val="22"/>
          <w:szCs w:val="22"/>
        </w:rPr>
        <w:t xml:space="preserve">assessing </w:t>
      </w:r>
      <w:r w:rsidRPr="00DD3983" w:rsidR="00CC3F9D">
        <w:rPr>
          <w:rFonts w:ascii="Arial" w:hAnsi="Arial" w:cs="Arial"/>
          <w:sz w:val="22"/>
          <w:szCs w:val="22"/>
        </w:rPr>
        <w:t>early changes in cognitive function</w:t>
      </w:r>
      <w:r w:rsidRPr="00DD3983">
        <w:rPr>
          <w:rFonts w:ascii="Arial" w:hAnsi="Arial" w:cs="Arial"/>
          <w:sz w:val="22"/>
          <w:szCs w:val="22"/>
        </w:rPr>
        <w:t xml:space="preserve">. Despite many of these tests being able to demonstrate </w:t>
      </w:r>
      <w:r w:rsidRPr="00DD3983" w:rsidR="00A129E4">
        <w:rPr>
          <w:rFonts w:ascii="Arial" w:hAnsi="Arial" w:cs="Arial"/>
          <w:sz w:val="22"/>
          <w:szCs w:val="22"/>
        </w:rPr>
        <w:t>acceptable</w:t>
      </w:r>
      <w:r w:rsidRPr="00DD3983">
        <w:rPr>
          <w:rFonts w:ascii="Arial" w:hAnsi="Arial" w:cs="Arial"/>
          <w:sz w:val="22"/>
          <w:szCs w:val="22"/>
        </w:rPr>
        <w:t xml:space="preserve"> </w:t>
      </w:r>
      <w:r w:rsidRPr="00DD3983" w:rsidR="00EC2581">
        <w:rPr>
          <w:rFonts w:ascii="Arial" w:hAnsi="Arial" w:cs="Arial"/>
          <w:sz w:val="22"/>
          <w:szCs w:val="22"/>
        </w:rPr>
        <w:t>accuracy</w:t>
      </w:r>
      <w:r w:rsidRPr="00DD3983">
        <w:rPr>
          <w:rFonts w:ascii="Arial" w:hAnsi="Arial" w:cs="Arial"/>
          <w:sz w:val="22"/>
          <w:szCs w:val="22"/>
        </w:rPr>
        <w:t xml:space="preserve"> when detecting AD</w:t>
      </w:r>
      <w:r w:rsidRPr="00DD3983" w:rsidR="00A129E4">
        <w:rPr>
          <w:rFonts w:ascii="Arial" w:hAnsi="Arial" w:cs="Arial"/>
          <w:sz w:val="22"/>
          <w:szCs w:val="22"/>
        </w:rPr>
        <w:t xml:space="preserve"> dementia</w:t>
      </w:r>
      <w:r w:rsidRPr="00DD3983">
        <w:rPr>
          <w:rFonts w:ascii="Arial" w:hAnsi="Arial" w:cs="Arial"/>
          <w:sz w:val="22"/>
          <w:szCs w:val="22"/>
        </w:rPr>
        <w:t xml:space="preserve"> from </w:t>
      </w:r>
      <w:r w:rsidRPr="00DD3983" w:rsidR="00EC2581">
        <w:rPr>
          <w:rFonts w:ascii="Arial" w:hAnsi="Arial" w:cs="Arial"/>
          <w:sz w:val="22"/>
          <w:szCs w:val="22"/>
        </w:rPr>
        <w:t>healthy</w:t>
      </w:r>
      <w:r w:rsidRPr="00DD3983">
        <w:rPr>
          <w:rFonts w:ascii="Arial" w:hAnsi="Arial" w:cs="Arial"/>
          <w:sz w:val="22"/>
          <w:szCs w:val="22"/>
        </w:rPr>
        <w:t xml:space="preserve"> control, they have limited </w:t>
      </w:r>
      <w:r w:rsidRPr="00DD3983" w:rsidR="00465AE1">
        <w:rPr>
          <w:rFonts w:ascii="Arial" w:hAnsi="Arial" w:cs="Arial"/>
          <w:sz w:val="22"/>
          <w:szCs w:val="22"/>
        </w:rPr>
        <w:t>accuracy</w:t>
      </w:r>
      <w:r w:rsidRPr="00DD3983">
        <w:rPr>
          <w:rFonts w:ascii="Arial" w:hAnsi="Arial" w:cs="Arial"/>
          <w:sz w:val="22"/>
          <w:szCs w:val="22"/>
        </w:rPr>
        <w:t xml:space="preserve"> when </w:t>
      </w:r>
      <w:r w:rsidRPr="00DD3983" w:rsidR="009C030C">
        <w:rPr>
          <w:rFonts w:ascii="Arial" w:hAnsi="Arial" w:cs="Arial"/>
          <w:sz w:val="22"/>
          <w:szCs w:val="22"/>
        </w:rPr>
        <w:t xml:space="preserve">seeking an early diagnosis, namely the </w:t>
      </w:r>
      <w:r w:rsidRPr="00DD3983">
        <w:rPr>
          <w:rFonts w:ascii="Arial" w:hAnsi="Arial" w:cs="Arial"/>
          <w:sz w:val="22"/>
          <w:szCs w:val="22"/>
        </w:rPr>
        <w:t xml:space="preserve">presence of MCI. </w:t>
      </w:r>
      <w:r w:rsidRPr="00DD3983" w:rsidR="00AB6F26">
        <w:rPr>
          <w:rFonts w:ascii="Arial" w:hAnsi="Arial" w:cs="Arial"/>
          <w:sz w:val="22"/>
          <w:szCs w:val="22"/>
        </w:rPr>
        <w:t>Routinely used t</w:t>
      </w:r>
      <w:r w:rsidRPr="00DD3983">
        <w:rPr>
          <w:rFonts w:ascii="Arial" w:hAnsi="Arial" w:cs="Arial"/>
          <w:sz w:val="22"/>
          <w:szCs w:val="22"/>
        </w:rPr>
        <w:t>ests like the Mo</w:t>
      </w:r>
      <w:r w:rsidRPr="00DD3983" w:rsidR="001A55BB">
        <w:rPr>
          <w:rFonts w:ascii="Arial" w:hAnsi="Arial" w:cs="Arial"/>
          <w:sz w:val="22"/>
          <w:szCs w:val="22"/>
        </w:rPr>
        <w:t>ntreal Cognitive Assessment (MoCA)</w:t>
      </w:r>
      <w:r w:rsidRPr="00DD3983">
        <w:rPr>
          <w:rFonts w:ascii="Arial" w:hAnsi="Arial" w:cs="Arial"/>
          <w:sz w:val="22"/>
          <w:szCs w:val="22"/>
        </w:rPr>
        <w:t>, ADAS-cog, and</w:t>
      </w:r>
      <w:r w:rsidRPr="00DD3983" w:rsidR="001A55BB">
        <w:rPr>
          <w:rFonts w:ascii="Arial" w:hAnsi="Arial" w:cs="Arial"/>
          <w:sz w:val="22"/>
          <w:szCs w:val="22"/>
        </w:rPr>
        <w:t xml:space="preserve"> mini-mental state exam</w:t>
      </w:r>
      <w:r w:rsidRPr="00DD3983" w:rsidR="009352F4">
        <w:rPr>
          <w:rFonts w:ascii="Arial" w:hAnsi="Arial" w:cs="Arial"/>
          <w:sz w:val="22"/>
          <w:szCs w:val="22"/>
        </w:rPr>
        <w:t xml:space="preserve"> (MMSE)</w:t>
      </w:r>
      <w:r w:rsidRPr="00DD3983">
        <w:rPr>
          <w:rFonts w:ascii="Arial" w:hAnsi="Arial" w:cs="Arial"/>
          <w:sz w:val="22"/>
          <w:szCs w:val="22"/>
        </w:rPr>
        <w:t xml:space="preserve"> were found to have a rather low specificity </w:t>
      </w:r>
      <w:r w:rsidRPr="00DD3983" w:rsidR="00FC00A4">
        <w:rPr>
          <w:rFonts w:ascii="Arial" w:hAnsi="Arial" w:cs="Arial"/>
          <w:sz w:val="22"/>
          <w:szCs w:val="22"/>
        </w:rPr>
        <w:t xml:space="preserve">for MCI </w:t>
      </w:r>
      <w:r w:rsidRPr="00DD3983">
        <w:rPr>
          <w:rFonts w:ascii="Arial" w:hAnsi="Arial" w:cs="Arial"/>
          <w:sz w:val="22"/>
          <w:szCs w:val="22"/>
        </w:rPr>
        <w:t>being 0.769, 0.835, and 0.721 respectively</w:t>
      </w:r>
      <w:r w:rsidR="00C01756">
        <w:rPr>
          <w:rFonts w:ascii="Arial" w:hAnsi="Arial" w:cs="Arial"/>
          <w:sz w:val="22"/>
          <w:szCs w:val="22"/>
        </w:rPr>
        <w:t>.</w:t>
      </w:r>
      <w:r w:rsidRPr="00DD3983">
        <w:rPr>
          <w:rFonts w:ascii="Arial" w:hAnsi="Arial" w:cs="Arial"/>
          <w:sz w:val="22"/>
          <w:szCs w:val="22"/>
        </w:rPr>
        <w:fldChar w:fldCharType="begin"/>
      </w:r>
      <w:r w:rsidR="00025355">
        <w:rPr>
          <w:rFonts w:ascii="Arial" w:hAnsi="Arial" w:cs="Arial"/>
          <w:sz w:val="22"/>
          <w:szCs w:val="22"/>
        </w:rPr>
        <w:instrText xml:space="preserve"> ADDIN ZOTERO_ITEM CSL_CITATION {"citationID":"nj26qyJ3","properties":{"formattedCitation":"\\super 55\\nosupersub{}","plainCitation":"55","noteIndex":0},"citationItems":[{"id":1565,"uris":["http://zotero.org/users/10927406/items/FFNIT6BE"],"itemData":{"id":1565,"type":"article-journal","abstract":"The neuropathological confirmation serves as the gold standard for diagnosing Alzheimer's disease (AD), but it is usually not available to the living individuals. In addition, the gold standard for diagnosing Mild Cognitive Impairment (MCI) remains unclear yet. Neuropsychological testing, such as the Montreal Cognitive Assessment (MoCA), Mini-Mental State Examination (MMSE) and Alzheimer's Disease Assessment Scale-Cognitive Subscale (ADAS-cog), is commonly used tests in identifying AD and MCI, offering convenience, affordability, non-invasiveness, and accessibility in clinical settings. We aimed to accurately evaluate the discriminative ability of the three tests administrated at the same visit simultaneously in detecting AD and MCI due to AD in the absence of a gold standard.","container-title":"European Journal of Medical Research","DOI":"10.1186/s40001-023-01265-6","ISSN":"2047-783X","issue":"1","journalAbbreviation":"European Journal of Medical Research","page":"427","source":"BioMed Central","title":"Bayesian estimation for the accuracy of three neuropsychological tests in detecting Alzheimer's disease and mild cognitive impairment: a retrospective analysis of the ADNI database","title-short":"Bayesian estimation for the accuracy of three neuropsychological tests in detecting Alzheimer's disease and mild cognitive impairment","volume":"28","author":[{"family":"Wang","given":"Xiaonan"},{"family":"Li","given":"Fengjie"},{"family":"Tian","given":"Jiang"},{"family":"Gao","given":"Qi"},{"family":"Zhu","given":"Huiping"}],"issued":{"date-parts":[["2023",10,12]]}}}],"schema":"https://github.com/citation-style-language/schema/raw/master/csl-citation.json"} </w:instrText>
      </w:r>
      <w:r w:rsidRPr="00DD3983">
        <w:rPr>
          <w:rFonts w:ascii="Arial" w:hAnsi="Arial" w:cs="Arial"/>
          <w:sz w:val="22"/>
          <w:szCs w:val="22"/>
        </w:rPr>
        <w:fldChar w:fldCharType="separate"/>
      </w:r>
      <w:r w:rsidRPr="00025355" w:rsidR="00025355">
        <w:rPr>
          <w:rFonts w:ascii="Arial" w:hAnsi="Arial" w:cs="Arial"/>
          <w:sz w:val="22"/>
          <w:vertAlign w:val="superscript"/>
        </w:rPr>
        <w:t>55</w:t>
      </w:r>
      <w:r w:rsidRPr="00DD3983">
        <w:rPr>
          <w:rFonts w:ascii="Arial" w:hAnsi="Arial" w:cs="Arial"/>
          <w:sz w:val="22"/>
          <w:szCs w:val="22"/>
        </w:rPr>
        <w:fldChar w:fldCharType="end"/>
      </w:r>
      <w:r w:rsidRPr="00DD3983">
        <w:rPr>
          <w:rFonts w:ascii="Arial" w:hAnsi="Arial" w:cs="Arial"/>
          <w:sz w:val="22"/>
          <w:szCs w:val="22"/>
        </w:rPr>
        <w:t xml:space="preserve"> In particular</w:t>
      </w:r>
      <w:r w:rsidRPr="00DD3983" w:rsidR="00E9192B">
        <w:rPr>
          <w:rFonts w:ascii="Arial" w:hAnsi="Arial" w:cs="Arial"/>
          <w:sz w:val="22"/>
          <w:szCs w:val="22"/>
        </w:rPr>
        <w:t>,</w:t>
      </w:r>
      <w:r w:rsidRPr="00DD3983">
        <w:rPr>
          <w:rFonts w:ascii="Arial" w:hAnsi="Arial" w:cs="Arial"/>
          <w:sz w:val="22"/>
          <w:szCs w:val="22"/>
        </w:rPr>
        <w:t xml:space="preserve"> the</w:t>
      </w:r>
      <w:r w:rsidRPr="00DD3983" w:rsidR="00AB6F26">
        <w:rPr>
          <w:rFonts w:ascii="Arial" w:hAnsi="Arial" w:cs="Arial"/>
          <w:sz w:val="22"/>
          <w:szCs w:val="22"/>
        </w:rPr>
        <w:t xml:space="preserve"> </w:t>
      </w:r>
      <w:r w:rsidRPr="00DD3983" w:rsidR="009B4FEC">
        <w:rPr>
          <w:rFonts w:ascii="Arial" w:hAnsi="Arial" w:cs="Arial"/>
          <w:sz w:val="22"/>
          <w:szCs w:val="22"/>
        </w:rPr>
        <w:t>most used</w:t>
      </w:r>
      <w:r w:rsidRPr="00DD3983" w:rsidR="00786E5D">
        <w:rPr>
          <w:rFonts w:ascii="Arial" w:hAnsi="Arial" w:cs="Arial"/>
          <w:sz w:val="22"/>
          <w:szCs w:val="22"/>
        </w:rPr>
        <w:t xml:space="preserve"> </w:t>
      </w:r>
      <w:r w:rsidRPr="00DD3983">
        <w:rPr>
          <w:rFonts w:ascii="Arial" w:hAnsi="Arial" w:cs="Arial"/>
          <w:sz w:val="22"/>
          <w:szCs w:val="22"/>
        </w:rPr>
        <w:t>MMSE struggles with the detection of MCI. When analyzed for both sensitivity and specificity combined to evaluate the overall diagnostic accuracy, called the Youden’s Index, the MMSE had a Youden’s index of only 0.478 when compared to the index for AD is 0.796</w:t>
      </w:r>
      <w:r w:rsidR="00C01756">
        <w:rPr>
          <w:rFonts w:ascii="Arial" w:hAnsi="Arial" w:cs="Arial"/>
          <w:sz w:val="22"/>
          <w:szCs w:val="22"/>
        </w:rPr>
        <w:t>.</w:t>
      </w:r>
      <w:r w:rsidRPr="00DD3983">
        <w:rPr>
          <w:rFonts w:ascii="Arial" w:hAnsi="Arial" w:cs="Arial"/>
          <w:sz w:val="22"/>
          <w:szCs w:val="22"/>
        </w:rPr>
        <w:fldChar w:fldCharType="begin"/>
      </w:r>
      <w:r w:rsidR="00025355">
        <w:rPr>
          <w:rFonts w:ascii="Arial" w:hAnsi="Arial" w:cs="Arial"/>
          <w:sz w:val="22"/>
          <w:szCs w:val="22"/>
        </w:rPr>
        <w:instrText xml:space="preserve"> ADDIN ZOTERO_ITEM CSL_CITATION {"citationID":"QFTwb9uv","properties":{"formattedCitation":"\\super 55\\nosupersub{}","plainCitation":"55","noteIndex":0},"citationItems":[{"id":1565,"uris":["http://zotero.org/users/10927406/items/FFNIT6BE"],"itemData":{"id":1565,"type":"article-journal","abstract":"The neuropathological confirmation serves as the gold standard for diagnosing Alzheimer's disease (AD), but it is usually not available to the living individuals. In addition, the gold standard for diagnosing Mild Cognitive Impairment (MCI) remains unclear yet. Neuropsychological testing, such as the Montreal Cognitive Assessment (MoCA), Mini-Mental State Examination (MMSE) and Alzheimer's Disease Assessment Scale-Cognitive Subscale (ADAS-cog), is commonly used tests in identifying AD and MCI, offering convenience, affordability, non-invasiveness, and accessibility in clinical settings. We aimed to accurately evaluate the discriminative ability of the three tests administrated at the same visit simultaneously in detecting AD and MCI due to AD in the absence of a gold standard.","container-title":"European Journal of Medical Research","DOI":"10.1186/s40001-023-01265-6","ISSN":"2047-783X","issue":"1","journalAbbreviation":"European Journal of Medical Research","page":"427","source":"BioMed Central","title":"Bayesian estimation for the accuracy of three neuropsychological tests in detecting Alzheimer's disease and mild cognitive impairment: a retrospective analysis of the ADNI database","title-short":"Bayesian estimation for the accuracy of three neuropsychological tests in detecting Alzheimer's disease and mild cognitive impairment","volume":"28","author":[{"family":"Wang","given":"Xiaonan"},{"family":"Li","given":"Fengjie"},{"family":"Tian","given":"Jiang"},{"family":"Gao","given":"Qi"},{"family":"Zhu","given":"Huiping"}],"issued":{"date-parts":[["2023",10,12]]}}}],"schema":"https://github.com/citation-style-language/schema/raw/master/csl-citation.json"} </w:instrText>
      </w:r>
      <w:r w:rsidRPr="00DD3983">
        <w:rPr>
          <w:rFonts w:ascii="Arial" w:hAnsi="Arial" w:cs="Arial"/>
          <w:sz w:val="22"/>
          <w:szCs w:val="22"/>
        </w:rPr>
        <w:fldChar w:fldCharType="separate"/>
      </w:r>
      <w:r w:rsidRPr="00025355" w:rsidR="00025355">
        <w:rPr>
          <w:rFonts w:ascii="Arial" w:hAnsi="Arial" w:cs="Arial"/>
          <w:sz w:val="22"/>
          <w:vertAlign w:val="superscript"/>
        </w:rPr>
        <w:t>55</w:t>
      </w:r>
      <w:r w:rsidRPr="00DD3983">
        <w:rPr>
          <w:rFonts w:ascii="Arial" w:hAnsi="Arial" w:cs="Arial"/>
          <w:sz w:val="22"/>
          <w:szCs w:val="22"/>
        </w:rPr>
        <w:fldChar w:fldCharType="end"/>
      </w:r>
      <w:r w:rsidRPr="00DD3983" w:rsidR="003B240F">
        <w:rPr>
          <w:rFonts w:ascii="Arial" w:hAnsi="Arial" w:cs="Arial"/>
          <w:sz w:val="22"/>
          <w:szCs w:val="22"/>
        </w:rPr>
        <w:t xml:space="preserve"> C</w:t>
      </w:r>
      <w:r w:rsidRPr="00DD3983">
        <w:rPr>
          <w:rFonts w:ascii="Arial" w:hAnsi="Arial" w:cs="Arial"/>
          <w:sz w:val="22"/>
          <w:szCs w:val="22"/>
        </w:rPr>
        <w:t>eiling effects of the assessments</w:t>
      </w:r>
      <w:r w:rsidRPr="00DD3983" w:rsidR="003B240F">
        <w:rPr>
          <w:rFonts w:ascii="Arial" w:hAnsi="Arial" w:cs="Arial"/>
          <w:sz w:val="22"/>
          <w:szCs w:val="22"/>
        </w:rPr>
        <w:t>,</w:t>
      </w:r>
      <w:r w:rsidRPr="00DD3983">
        <w:rPr>
          <w:rFonts w:ascii="Arial" w:hAnsi="Arial" w:cs="Arial"/>
          <w:sz w:val="22"/>
          <w:szCs w:val="22"/>
        </w:rPr>
        <w:t xml:space="preserve"> where scores are often clustered towards the maximum</w:t>
      </w:r>
      <w:r w:rsidRPr="00DD3983" w:rsidR="003B240F">
        <w:rPr>
          <w:rFonts w:ascii="Arial" w:hAnsi="Arial" w:cs="Arial"/>
          <w:sz w:val="22"/>
          <w:szCs w:val="22"/>
        </w:rPr>
        <w:t xml:space="preserve">, </w:t>
      </w:r>
      <w:r w:rsidRPr="00DD3983" w:rsidR="007D3407">
        <w:rPr>
          <w:rFonts w:ascii="Arial" w:hAnsi="Arial" w:cs="Arial"/>
          <w:sz w:val="22"/>
          <w:szCs w:val="22"/>
        </w:rPr>
        <w:t xml:space="preserve">were heavily implicated in </w:t>
      </w:r>
      <w:r w:rsidRPr="00DD3983" w:rsidR="00795219">
        <w:rPr>
          <w:rFonts w:ascii="Arial" w:hAnsi="Arial" w:cs="Arial"/>
          <w:sz w:val="22"/>
          <w:szCs w:val="22"/>
        </w:rPr>
        <w:t>compromising the accuracy of cognitive assessments</w:t>
      </w:r>
      <w:r w:rsidRPr="00DD3983">
        <w:rPr>
          <w:rFonts w:ascii="Arial" w:hAnsi="Arial" w:cs="Arial"/>
          <w:sz w:val="22"/>
          <w:szCs w:val="22"/>
        </w:rPr>
        <w:t>. For instance, the ADAS-cog was found to have significant ceiling effects in 7 out of its 11 components implying that the ADA</w:t>
      </w:r>
      <w:r w:rsidRPr="00DD3983" w:rsidR="00FD3573">
        <w:rPr>
          <w:rFonts w:ascii="Arial" w:hAnsi="Arial" w:cs="Arial"/>
          <w:sz w:val="22"/>
          <w:szCs w:val="22"/>
        </w:rPr>
        <w:t>S</w:t>
      </w:r>
      <w:r w:rsidRPr="00DD3983">
        <w:rPr>
          <w:rFonts w:ascii="Arial" w:hAnsi="Arial" w:cs="Arial"/>
          <w:sz w:val="22"/>
          <w:szCs w:val="22"/>
        </w:rPr>
        <w:t>-Cog would struggle to detect small changes in cognition</w:t>
      </w:r>
      <w:r w:rsidRPr="00DD3983" w:rsidR="00C975E5">
        <w:rPr>
          <w:rFonts w:ascii="Arial" w:hAnsi="Arial" w:cs="Arial"/>
          <w:sz w:val="22"/>
          <w:szCs w:val="22"/>
        </w:rPr>
        <w:t xml:space="preserve"> near the beginning of the AD continuum</w:t>
      </w:r>
      <w:r w:rsidR="00C01756">
        <w:rPr>
          <w:rFonts w:ascii="Arial" w:hAnsi="Arial" w:cs="Arial"/>
          <w:sz w:val="22"/>
          <w:szCs w:val="22"/>
        </w:rPr>
        <w:t>.</w:t>
      </w:r>
      <w:r w:rsidRPr="00DD3983">
        <w:rPr>
          <w:rFonts w:ascii="Arial" w:hAnsi="Arial" w:cs="Arial"/>
          <w:sz w:val="22"/>
          <w:szCs w:val="22"/>
        </w:rPr>
        <w:fldChar w:fldCharType="begin"/>
      </w:r>
      <w:r w:rsidR="00025355">
        <w:rPr>
          <w:rFonts w:ascii="Arial" w:hAnsi="Arial" w:cs="Arial"/>
          <w:sz w:val="22"/>
          <w:szCs w:val="22"/>
        </w:rPr>
        <w:instrText xml:space="preserve"> ADDIN ZOTERO_ITEM CSL_CITATION {"citationID":"M0MWhWAY","properties":{"formattedCitation":"\\super 56\\nosupersub{}","plainCitation":"56","noteIndex":0},"citationItems":[{"id":1548,"uris":["http://zotero.org/users/10927406/items/GYSA9DH4"],"itemData":{"id":1548,"type":"article-journal","abstract":"Background The Alzheimer's Disease Assessment Scale Cognitive Behavior Section (ADAS-cog), a measure of cognitive performance, has been used widely in Alzheimer's disease trials. Its key role in clinical trials should be supported by evidence that it is both clinically meaningful and scientifically sound. Its conceptual and neuropsychological underpinnings are well-considered, but its performance as an instrument of measurement has received less attention.\nObjective To examine the traditional psychometric properties of the ADAS-cog in a large sample of people with Alzheimer's disease.\nMethods Data from three clinical trials of donepezil (Aricept) in mild-to-moderate Alzheimer's disease (n=1421; MMSE 10–26) were analysed at both the scale and component level. Five psychometric properties were examined using traditional psychometric methods. These methods of examination underpin upcoming Food and Drug Administration recommendations for patient rating scale evaluation.\nResults At the scale-level, criteria tested for data completeness, scaling assumptions (eg, component total correlations: 0.39–0.67), targeting (no floor or ceiling effects), reliability (eg, Cronbach's α: = 0.84; test-retest intraclass correlations: 0.93) and validity (correlation with MMSE: −0.63) were satisfied. At the component level, 7 of 11 ADAS-cog components had substantial ceiling effects (range 40–64%).\nConclusions Performance was satisfactory at the scale level, but most ADAS-cog components were too easy for many patients in this sample and did not reflect the expected depth and range of cognitive performance. The clinical implication of this finding is that the ADAS-cog's estimate of cognitive ability, and its potential ability to detect differences in cognitive performance under treatment, could be improved. However, because of the limitations of traditional psychometric methods, further evaluations would be desirable using additional rating scale analysis techniques to pinpoint specific improvements.","container-title":"Journal of Neurology, Neurosurgery &amp; Psychiatry","DOI":"10.1136/jnnp.2009.204008","ISSN":"0022-3050, 1468-330X","issue":"12","language":"en","license":"© 2010, Published by the BMJ Publishing Group Limited. For permission to use (where not already granted under a licence) please go to http://group.bmj.com.proxy1.lib.uwo.ca/group/rights-licensing/permissions.","note":"publisher: BMJ Publishing Group Ltd\nsection: Research paper\nPMID: 20881017","page":"1363-1368","source":"jnnp-bmj-com.proxy1.lib.uwo.ca","title":"The ADAS-cog in Alzheimer's disease clinical trials: psychometric evaluation of the sum and its parts","title-short":"The ADAS-cog in Alzheimer's disease clinical trials","volume":"81","author":[{"family":"Cano","given":"Stefan J."},{"family":"Posner","given":"Holly B."},{"family":"Moline","given":"Margaret L."},{"family":"Hurt","given":"Stephen W."},{"family":"Swartz","given":"Jina"},{"family":"Hsu","given":"Tim"},{"family":"Hobart","given":"Jeremy C."}],"issued":{"date-parts":[["2010",12,1]]}}}],"schema":"https://github.com/citation-style-language/schema/raw/master/csl-citation.json"} </w:instrText>
      </w:r>
      <w:r w:rsidRPr="00DD3983">
        <w:rPr>
          <w:rFonts w:ascii="Arial" w:hAnsi="Arial" w:cs="Arial"/>
          <w:sz w:val="22"/>
          <w:szCs w:val="22"/>
        </w:rPr>
        <w:fldChar w:fldCharType="separate"/>
      </w:r>
      <w:r w:rsidRPr="00025355" w:rsidR="00025355">
        <w:rPr>
          <w:rFonts w:ascii="Arial" w:hAnsi="Arial" w:cs="Arial"/>
          <w:sz w:val="22"/>
          <w:vertAlign w:val="superscript"/>
        </w:rPr>
        <w:t>56</w:t>
      </w:r>
      <w:r w:rsidRPr="00DD3983">
        <w:rPr>
          <w:rFonts w:ascii="Arial" w:hAnsi="Arial" w:cs="Arial"/>
          <w:sz w:val="22"/>
          <w:szCs w:val="22"/>
        </w:rPr>
        <w:fldChar w:fldCharType="end"/>
      </w:r>
      <w:r w:rsidRPr="00DD3983">
        <w:rPr>
          <w:rFonts w:ascii="Arial" w:hAnsi="Arial" w:cs="Arial"/>
          <w:sz w:val="22"/>
          <w:szCs w:val="22"/>
        </w:rPr>
        <w:t xml:space="preserve"> </w:t>
      </w:r>
      <w:r w:rsidRPr="00DD3983" w:rsidR="004D60EC">
        <w:rPr>
          <w:rFonts w:ascii="Arial" w:hAnsi="Arial" w:cs="Arial"/>
          <w:sz w:val="22"/>
          <w:szCs w:val="22"/>
        </w:rPr>
        <w:t>Additionally</w:t>
      </w:r>
      <w:r w:rsidRPr="00DD3983" w:rsidR="00A83740">
        <w:rPr>
          <w:rFonts w:ascii="Arial" w:hAnsi="Arial" w:cs="Arial"/>
          <w:sz w:val="22"/>
          <w:szCs w:val="22"/>
        </w:rPr>
        <w:t>, in a cognitively healthy older adult cohort, 39 individuals who scored in the lowest quartile of the TICS-M</w:t>
      </w:r>
      <w:r w:rsidRPr="00DD3983" w:rsidR="00B12B41">
        <w:rPr>
          <w:rFonts w:ascii="Arial" w:hAnsi="Arial" w:cs="Arial"/>
          <w:sz w:val="22"/>
          <w:szCs w:val="22"/>
        </w:rPr>
        <w:t xml:space="preserve"> cognitive assessment</w:t>
      </w:r>
      <w:r w:rsidRPr="00DD3983" w:rsidR="00A83740">
        <w:rPr>
          <w:rFonts w:ascii="Arial" w:hAnsi="Arial" w:cs="Arial"/>
          <w:sz w:val="22"/>
          <w:szCs w:val="22"/>
        </w:rPr>
        <w:t xml:space="preserve"> (≤26/39) had MMSE scores that still ranged from 24 to a perfect 30</w:t>
      </w:r>
      <w:r w:rsidRPr="00DD3983" w:rsidR="00D42EBB">
        <w:rPr>
          <w:rFonts w:ascii="Arial" w:hAnsi="Arial" w:cs="Arial"/>
          <w:sz w:val="22"/>
          <w:szCs w:val="22"/>
        </w:rPr>
        <w:t xml:space="preserve"> demonstrating a significant ceiling effect</w:t>
      </w:r>
      <w:r w:rsidRPr="00DD3983" w:rsidR="00C475A9">
        <w:rPr>
          <w:rFonts w:ascii="Arial" w:hAnsi="Arial" w:cs="Arial"/>
          <w:sz w:val="22"/>
          <w:szCs w:val="22"/>
        </w:rPr>
        <w:t xml:space="preserve"> </w:t>
      </w:r>
      <w:r w:rsidRPr="00DD3983" w:rsidR="00C13FAA">
        <w:rPr>
          <w:rFonts w:ascii="Arial" w:hAnsi="Arial" w:cs="Arial"/>
          <w:sz w:val="22"/>
          <w:szCs w:val="22"/>
        </w:rPr>
        <w:t xml:space="preserve">within the MMSE </w:t>
      </w:r>
      <w:r w:rsidRPr="00DD3983" w:rsidR="00C475A9">
        <w:rPr>
          <w:rFonts w:ascii="Arial" w:hAnsi="Arial" w:cs="Arial"/>
          <w:sz w:val="22"/>
          <w:szCs w:val="22"/>
        </w:rPr>
        <w:t>and ambiguity between</w:t>
      </w:r>
      <w:r w:rsidRPr="00DD3983" w:rsidR="00794AD5">
        <w:rPr>
          <w:rFonts w:ascii="Arial" w:hAnsi="Arial" w:cs="Arial"/>
          <w:sz w:val="22"/>
          <w:szCs w:val="22"/>
        </w:rPr>
        <w:t xml:space="preserve"> different </w:t>
      </w:r>
      <w:r w:rsidRPr="00DD3983" w:rsidR="00DB400D">
        <w:rPr>
          <w:rFonts w:ascii="Arial" w:hAnsi="Arial" w:cs="Arial"/>
          <w:sz w:val="22"/>
          <w:szCs w:val="22"/>
        </w:rPr>
        <w:t>assessments</w:t>
      </w:r>
      <w:r w:rsidRPr="00DD3983" w:rsidR="00AB2AFF">
        <w:rPr>
          <w:rFonts w:ascii="Arial" w:hAnsi="Arial" w:cs="Arial"/>
          <w:sz w:val="22"/>
          <w:szCs w:val="22"/>
        </w:rPr>
        <w:t xml:space="preserve"> for detecting</w:t>
      </w:r>
      <w:r w:rsidRPr="00DD3983" w:rsidR="0030703C">
        <w:rPr>
          <w:rFonts w:ascii="Arial" w:hAnsi="Arial" w:cs="Arial"/>
          <w:sz w:val="22"/>
          <w:szCs w:val="22"/>
        </w:rPr>
        <w:t xml:space="preserve"> </w:t>
      </w:r>
      <w:r w:rsidRPr="00DD3983" w:rsidR="00E26B03">
        <w:rPr>
          <w:rFonts w:ascii="Arial" w:hAnsi="Arial" w:cs="Arial"/>
          <w:sz w:val="22"/>
          <w:szCs w:val="22"/>
        </w:rPr>
        <w:t>nuanced differences in cognition</w:t>
      </w:r>
      <w:r w:rsidR="00C01756">
        <w:rPr>
          <w:rFonts w:ascii="Arial" w:hAnsi="Arial" w:cs="Arial"/>
          <w:sz w:val="22"/>
          <w:szCs w:val="22"/>
        </w:rPr>
        <w:t>.</w:t>
      </w:r>
      <w:r w:rsidRPr="00DD3983">
        <w:rPr>
          <w:rFonts w:ascii="Arial" w:hAnsi="Arial" w:cs="Arial"/>
          <w:sz w:val="22"/>
          <w:szCs w:val="22"/>
        </w:rPr>
        <w:fldChar w:fldCharType="begin"/>
      </w:r>
      <w:r w:rsidR="00025355">
        <w:rPr>
          <w:rFonts w:ascii="Arial" w:hAnsi="Arial" w:cs="Arial"/>
          <w:sz w:val="22"/>
          <w:szCs w:val="22"/>
        </w:rPr>
        <w:instrText xml:space="preserve"> ADDIN ZOTERO_ITEM CSL_CITATION {"citationID":"mVt4oOLP","properties":{"formattedCitation":"\\super 57\\nosupersub{}","plainCitation":"57","noteIndex":0},"citationItems":[{"id":1551,"uris":["http://zotero.org/users/10927406/items/K5MMZZMF"],"itemData":{"id":1551,"type":"article-journal","abstract":"Background Routine screening of high-risk elderly people for early cognitive impairment is constrained by the limitations of currently available cognitive function tests. The Telephone Interview of Cognitive Status is a novel instrument for assessment of cognitive function that can be administered in person or by telephone. Objective To evaluate the determinants and utility of TICS-M (13-item modified version) for assessment of cognitive function in healthy elderly people. Methods The utility of TICS-M was compared with more widely used MMSE and CAMCOG in a cross-sectional survey of 120 older (62 to 89 years) UK adults. Results The TICS-M cognitive test scores (27.97, SD 4.15) were normally distributed in contrast with those for MMSE and CAMCOG that had a negatively skewed distribution. TICS-M scores were inversely correlated with age (r = −0.21) and with the NART fullscale IQ (r = −0.35), but were independent of years of education in this cohort. TICS-M was highly correlated with MMSE (r = 0.57) and with CAMCOG (r = 0.62) scores. The time required to complete the test is comparable to MMSE and substantially less than CAMCOG. Conclusions The normal distribution of TICS-M test scores suggest that this test is less constrained by the ceiling effect which limits the utility of MMSE and CAMCOG test scores in detecting early cognitive impairment. TICS-M is an appropriate instrument to assess cognitive function in both research and in clinical practice. Copyright © 2003 John Wiley &amp; Sons, Ltd.","container-title":"International Journal of Geriatric Psychiatry","DOI":"10.1002/gps.830","ISSN":"1099-1166","issue":"4","language":"en","note":"_eprint: https://onlinelibrary.wiley.com/doi/pdf/10.1002/gps.830","page":"318-324","source":"Wiley Online Library","title":"Utility of TICS-M for the assessment of cognitive function in older adults","volume":"18","author":[{"family":"Jager","given":"Celeste A.","non-dropping-particle":"de"},{"family":"Budge","given":"Marc M."},{"family":"Clarke","given":"Robert"}],"issued":{"date-parts":[["2003"]]}}}],"schema":"https://github.com/citation-style-language/schema/raw/master/csl-citation.json"} </w:instrText>
      </w:r>
      <w:r w:rsidRPr="00DD3983">
        <w:rPr>
          <w:rFonts w:ascii="Arial" w:hAnsi="Arial" w:cs="Arial"/>
          <w:sz w:val="22"/>
          <w:szCs w:val="22"/>
        </w:rPr>
        <w:fldChar w:fldCharType="separate"/>
      </w:r>
      <w:r w:rsidRPr="00025355" w:rsidR="00025355">
        <w:rPr>
          <w:rFonts w:ascii="Arial" w:hAnsi="Arial" w:cs="Arial"/>
          <w:sz w:val="22"/>
          <w:vertAlign w:val="superscript"/>
        </w:rPr>
        <w:t>57</w:t>
      </w:r>
      <w:r w:rsidRPr="00DD3983">
        <w:rPr>
          <w:rFonts w:ascii="Arial" w:hAnsi="Arial" w:cs="Arial"/>
          <w:sz w:val="22"/>
          <w:szCs w:val="22"/>
        </w:rPr>
        <w:fldChar w:fldCharType="end"/>
      </w:r>
      <w:r w:rsidRPr="00DD3983">
        <w:rPr>
          <w:rFonts w:ascii="Arial" w:hAnsi="Arial" w:cs="Arial"/>
          <w:sz w:val="22"/>
          <w:szCs w:val="22"/>
        </w:rPr>
        <w:t xml:space="preserve"> </w:t>
      </w:r>
      <w:r w:rsidRPr="00DD3983" w:rsidR="006D422B">
        <w:rPr>
          <w:rFonts w:ascii="Arial" w:hAnsi="Arial" w:cs="Arial"/>
          <w:sz w:val="22"/>
          <w:szCs w:val="22"/>
        </w:rPr>
        <w:t>Aside from the clinical</w:t>
      </w:r>
      <w:r w:rsidRPr="00DD3983" w:rsidR="00D62900">
        <w:rPr>
          <w:rFonts w:ascii="Arial" w:hAnsi="Arial" w:cs="Arial"/>
          <w:sz w:val="22"/>
          <w:szCs w:val="22"/>
        </w:rPr>
        <w:t xml:space="preserve"> implications of low accuracy, this also </w:t>
      </w:r>
      <w:r w:rsidRPr="00DD3983" w:rsidR="002B1F7A">
        <w:rPr>
          <w:rFonts w:ascii="Arial" w:hAnsi="Arial" w:cs="Arial"/>
          <w:sz w:val="22"/>
          <w:szCs w:val="22"/>
        </w:rPr>
        <w:t>remains</w:t>
      </w:r>
      <w:r w:rsidRPr="00DD3983" w:rsidR="006B4685">
        <w:rPr>
          <w:rFonts w:ascii="Arial" w:hAnsi="Arial" w:cs="Arial"/>
          <w:sz w:val="22"/>
          <w:szCs w:val="22"/>
        </w:rPr>
        <w:t xml:space="preserve"> a significant barrier within research</w:t>
      </w:r>
      <w:r w:rsidRPr="00DD3983" w:rsidR="00CB1A9B">
        <w:rPr>
          <w:rFonts w:ascii="Arial" w:hAnsi="Arial" w:cs="Arial"/>
          <w:sz w:val="22"/>
          <w:szCs w:val="22"/>
        </w:rPr>
        <w:t>.</w:t>
      </w:r>
      <w:r w:rsidRPr="00DD3983" w:rsidR="002B1F7A">
        <w:rPr>
          <w:rFonts w:ascii="Arial" w:hAnsi="Arial" w:cs="Arial"/>
          <w:sz w:val="22"/>
          <w:szCs w:val="22"/>
        </w:rPr>
        <w:t xml:space="preserve"> For instance, the MMSE</w:t>
      </w:r>
      <w:r w:rsidRPr="00DD3983" w:rsidR="009C5546">
        <w:rPr>
          <w:rFonts w:ascii="Arial" w:hAnsi="Arial" w:cs="Arial"/>
          <w:sz w:val="22"/>
          <w:szCs w:val="22"/>
        </w:rPr>
        <w:t xml:space="preserve"> while demonstrating</w:t>
      </w:r>
      <w:r w:rsidRPr="00DD3983" w:rsidR="002B1F7A">
        <w:rPr>
          <w:rFonts w:ascii="Arial" w:hAnsi="Arial" w:cs="Arial"/>
          <w:sz w:val="22"/>
          <w:szCs w:val="22"/>
        </w:rPr>
        <w:t xml:space="preserve"> a positive predictive value of only 64% for identifying MCI</w:t>
      </w:r>
      <w:r w:rsidRPr="00DD3983" w:rsidR="009C5546">
        <w:rPr>
          <w:rFonts w:ascii="Arial" w:hAnsi="Arial" w:cs="Arial"/>
          <w:sz w:val="22"/>
          <w:szCs w:val="22"/>
        </w:rPr>
        <w:t xml:space="preserve"> </w:t>
      </w:r>
      <w:r w:rsidRPr="00DD3983" w:rsidR="002B1F7A">
        <w:rPr>
          <w:rFonts w:ascii="Arial" w:hAnsi="Arial" w:cs="Arial"/>
          <w:sz w:val="22"/>
          <w:szCs w:val="22"/>
        </w:rPr>
        <w:t>was used as an eligibility criterion in 57.7% of active or recruiting phase II and III AD trials</w:t>
      </w:r>
      <w:r w:rsidR="00C01756">
        <w:rPr>
          <w:rFonts w:ascii="Arial" w:hAnsi="Arial" w:cs="Arial"/>
          <w:sz w:val="22"/>
          <w:szCs w:val="22"/>
        </w:rPr>
        <w:t>.</w:t>
      </w:r>
      <w:r w:rsidRPr="00DD3983" w:rsidR="00D3348C">
        <w:rPr>
          <w:rFonts w:ascii="Arial" w:hAnsi="Arial" w:cs="Arial"/>
          <w:sz w:val="22"/>
          <w:szCs w:val="22"/>
        </w:rPr>
        <w:fldChar w:fldCharType="begin"/>
      </w:r>
      <w:r w:rsidR="00025355">
        <w:rPr>
          <w:rFonts w:ascii="Arial" w:hAnsi="Arial" w:cs="Arial"/>
          <w:sz w:val="22"/>
          <w:szCs w:val="22"/>
        </w:rPr>
        <w:instrText xml:space="preserve"> ADDIN ZOTERO_ITEM CSL_CITATION {"citationID":"21RKh2xu","properties":{"formattedCitation":"\\super 58\\nosupersub{}","plainCitation":"58","noteIndex":0},"citationItems":[{"id":1580,"uris":["http://zotero.org/users/10927406/items/BIBG9XZE"],"itemData":{"id":1580,"type":"article-journal","abstract":"Specific cutoff scores on the Mini Mental State Examination (MMSE) and the Logical Memory (LM) test are used to determine inclusion in Alzheimer’s disease (AD) clinical trials and diagnostic studies. These screening measures have known psychometric limitations, but no study has examined the diagnostic accuracy of the cutoff scores used to determine entry into AD clinical trials and diagnostic studies.","container-title":"Alzheimer's Research &amp; Therapy","DOI":"10.1186/s13195-016-0176-z","ISSN":"1758-9193","issue":"1","journalAbbreviation":"Alzheimer's Research &amp; Therapy","page":"9","source":"BioMed Central","title":"Mini Mental State Examination and Logical Memory scores for entry into Alzheimer’s disease trials","volume":"8","author":[{"family":"Chapman","given":"Kimberly R."},{"family":"Bing-Canar","given":"Hanaan"},{"family":"Alosco","given":"Michael L."},{"family":"Steinberg","given":"Eric G."},{"family":"Martin","given":"Brett"},{"family":"Chaisson","given":"Christine"},{"family":"Kowall","given":"Neil"},{"family":"Tripodis","given":"Yorghos"},{"family":"Stern","given":"Robert A."}],"issued":{"date-parts":[["2016",2,22]]}}}],"schema":"https://github.com/citation-style-language/schema/raw/master/csl-citation.json"} </w:instrText>
      </w:r>
      <w:r w:rsidRPr="00DD3983" w:rsidR="00D3348C">
        <w:rPr>
          <w:rFonts w:ascii="Arial" w:hAnsi="Arial" w:cs="Arial"/>
          <w:sz w:val="22"/>
          <w:szCs w:val="22"/>
        </w:rPr>
        <w:fldChar w:fldCharType="separate"/>
      </w:r>
      <w:r w:rsidRPr="00025355" w:rsidR="00025355">
        <w:rPr>
          <w:rFonts w:ascii="Arial" w:hAnsi="Arial" w:cs="Arial"/>
          <w:sz w:val="22"/>
          <w:vertAlign w:val="superscript"/>
        </w:rPr>
        <w:t>58</w:t>
      </w:r>
      <w:r w:rsidRPr="00DD3983" w:rsidR="00D3348C">
        <w:rPr>
          <w:rFonts w:ascii="Arial" w:hAnsi="Arial" w:cs="Arial"/>
          <w:sz w:val="22"/>
          <w:szCs w:val="22"/>
        </w:rPr>
        <w:fldChar w:fldCharType="end"/>
      </w:r>
    </w:p>
    <w:p w:rsidRPr="00DD3983" w:rsidR="00680402" w:rsidP="00680402" w:rsidRDefault="00680402" w14:paraId="11CE0AEC" w14:textId="77777777">
      <w:pPr>
        <w:pStyle w:val="NormalWeb"/>
        <w:spacing w:before="0" w:beforeAutospacing="0" w:after="0" w:afterAutospacing="0"/>
        <w:jc w:val="both"/>
        <w:rPr>
          <w:rFonts w:ascii="Arial" w:hAnsi="Arial" w:cs="Arial"/>
          <w:sz w:val="22"/>
          <w:szCs w:val="22"/>
        </w:rPr>
      </w:pPr>
    </w:p>
    <w:p w:rsidRPr="000F46B7" w:rsidR="002325F2" w:rsidP="004C5A74" w:rsidRDefault="002325F2" w14:paraId="49F0E7FA" w14:textId="59A2188E">
      <w:pPr>
        <w:pStyle w:val="Heading3"/>
        <w:spacing w:before="0" w:after="0"/>
      </w:pPr>
      <w:bookmarkStart w:name="_Toc183482296" w:id="1"/>
      <w:r w:rsidRPr="000F46B7">
        <w:t xml:space="preserve">Inadequate </w:t>
      </w:r>
      <w:bookmarkEnd w:id="1"/>
      <w:r w:rsidRPr="000F46B7">
        <w:t>Generalizability</w:t>
      </w:r>
      <w:r w:rsidRPr="000F46B7" w:rsidR="00362993">
        <w:t xml:space="preserve"> of Cognitive Assessments</w:t>
      </w:r>
    </w:p>
    <w:p w:rsidR="002E4FE4" w:rsidP="004C5A74" w:rsidRDefault="002325F2" w14:paraId="4B14FE52" w14:textId="7D705D17">
      <w:pPr>
        <w:pStyle w:val="NormalWeb"/>
        <w:spacing w:before="0" w:beforeAutospacing="0" w:after="0" w:afterAutospacing="0"/>
        <w:jc w:val="both"/>
        <w:rPr>
          <w:rFonts w:ascii="Arial" w:hAnsi="Arial" w:cs="Arial"/>
          <w:sz w:val="22"/>
          <w:szCs w:val="22"/>
        </w:rPr>
      </w:pPr>
      <w:r w:rsidRPr="00DD3983">
        <w:rPr>
          <w:rFonts w:ascii="Arial" w:hAnsi="Arial" w:cs="Arial"/>
          <w:sz w:val="22"/>
          <w:szCs w:val="22"/>
        </w:rPr>
        <w:t xml:space="preserve">Another identified barrier </w:t>
      </w:r>
      <w:r w:rsidR="007138B8">
        <w:rPr>
          <w:rFonts w:ascii="Arial" w:hAnsi="Arial" w:cs="Arial"/>
          <w:sz w:val="22"/>
          <w:szCs w:val="22"/>
        </w:rPr>
        <w:t xml:space="preserve">commonly </w:t>
      </w:r>
      <w:r w:rsidR="00657EC1">
        <w:rPr>
          <w:rFonts w:ascii="Arial" w:hAnsi="Arial" w:cs="Arial"/>
          <w:sz w:val="22"/>
          <w:szCs w:val="22"/>
        </w:rPr>
        <w:t xml:space="preserve">noted for </w:t>
      </w:r>
      <w:r w:rsidRPr="00DD3983">
        <w:rPr>
          <w:rFonts w:ascii="Arial" w:hAnsi="Arial" w:cs="Arial"/>
          <w:sz w:val="22"/>
          <w:szCs w:val="22"/>
        </w:rPr>
        <w:t xml:space="preserve">cognitive assessments is their </w:t>
      </w:r>
      <w:r w:rsidR="00727048">
        <w:rPr>
          <w:rFonts w:ascii="Arial" w:hAnsi="Arial" w:cs="Arial"/>
          <w:sz w:val="22"/>
          <w:szCs w:val="22"/>
        </w:rPr>
        <w:t>generalizability</w:t>
      </w:r>
      <w:r w:rsidR="00657EC1">
        <w:rPr>
          <w:rFonts w:ascii="Arial" w:hAnsi="Arial" w:cs="Arial"/>
          <w:sz w:val="22"/>
          <w:szCs w:val="22"/>
        </w:rPr>
        <w:t xml:space="preserve"> appearing in </w:t>
      </w:r>
      <w:r w:rsidR="00EC65A9">
        <w:rPr>
          <w:rFonts w:ascii="Arial" w:hAnsi="Arial" w:cs="Arial"/>
          <w:sz w:val="22"/>
          <w:szCs w:val="22"/>
        </w:rPr>
        <w:t>26</w:t>
      </w:r>
      <w:r w:rsidR="00777C1E">
        <w:rPr>
          <w:rFonts w:ascii="Arial" w:hAnsi="Arial" w:cs="Arial"/>
          <w:sz w:val="22"/>
          <w:szCs w:val="22"/>
        </w:rPr>
        <w:t xml:space="preserve"> articles. </w:t>
      </w:r>
      <w:r w:rsidR="00612816">
        <w:rPr>
          <w:rFonts w:ascii="Arial" w:hAnsi="Arial" w:cs="Arial"/>
          <w:sz w:val="22"/>
          <w:szCs w:val="22"/>
        </w:rPr>
        <w:t>This is commonly attributed</w:t>
      </w:r>
      <w:r w:rsidR="00777C1E">
        <w:rPr>
          <w:rFonts w:ascii="Arial" w:hAnsi="Arial" w:cs="Arial"/>
          <w:sz w:val="22"/>
          <w:szCs w:val="22"/>
        </w:rPr>
        <w:t xml:space="preserve"> </w:t>
      </w:r>
      <w:r w:rsidRPr="00DD3983">
        <w:rPr>
          <w:rFonts w:ascii="Arial" w:hAnsi="Arial" w:cs="Arial"/>
          <w:sz w:val="22"/>
          <w:szCs w:val="22"/>
        </w:rPr>
        <w:t>reliance on normative data that is validated on small, typically homogenous populations</w:t>
      </w:r>
      <w:r w:rsidR="00C01756">
        <w:rPr>
          <w:rFonts w:ascii="Arial" w:hAnsi="Arial" w:cs="Arial"/>
          <w:sz w:val="22"/>
          <w:szCs w:val="22"/>
        </w:rPr>
        <w:t>.</w:t>
      </w:r>
      <w:r w:rsidRPr="00DD3983">
        <w:rPr>
          <w:rFonts w:ascii="Arial" w:hAnsi="Arial" w:cs="Arial"/>
          <w:sz w:val="22"/>
          <w:szCs w:val="22"/>
        </w:rPr>
        <w:fldChar w:fldCharType="begin"/>
      </w:r>
      <w:r w:rsidR="00025355">
        <w:rPr>
          <w:rFonts w:ascii="Arial" w:hAnsi="Arial" w:cs="Arial"/>
          <w:sz w:val="22"/>
          <w:szCs w:val="22"/>
        </w:rPr>
        <w:instrText xml:space="preserve"> ADDIN ZOTERO_ITEM CSL_CITATION {"citationID":"QgT3fFH0","properties":{"formattedCitation":"\\super 59\\nosupersub{}","plainCitation":"59","noteIndex":0},"citationItems":[{"id":1562,"uris":["http://zotero.org/users/10927406/items/8UHCCD88"],"itemData":{"id":1562,"type":"article-journal","abstract":"Every year, millions of patients worldwide undergo cognitive testing. Unfortunately, new barriers to the use of free open access cognitive screening tools have arisen over time, making accessibility of tools unstable. This article is in follow-up to an editorial discussing alternative cognitive screening tools for those who cannot afford the costs of the Mini-Mental State Examination and Montreal Cognitive Assessment (see www.dementiascreen.ca). The current article outlines an emerging disruptive “free-to-fee” cycle where free open access cognitive screening tools are integrated into clinical practice and guidelines, where fees are then levied for the use of the tools, resulting in clinicians moving on to other tools. This article provides recommendations on means to break this cycle, including the development of tool kits of valid cognitive screening tools that authors have contracted not to charge for (i.e., have agreed to keep free open access). The PRACTICAL.1 Criteria (PRACTIcing Clinician Accessibility and Logistical Criteria Version 1) are introduced to help clinicians select from validated cognitive screening tools, considering barriers and facilitators, such as whether the cognitive screening tools are easy to score and free of cost. It is suggested that future systematic reviews embed the PRACTICAL.1 criteria, or refined future versions, as part of the standard of review. Methodological issues, the need for open access training to insure proper use of cognitive screening tools, and the need to anticipate growing ethnolinguistic diversity by developing tools that are less sensitive to educational, cultural, and linguistic bias are discussed in this opinion piece. J Am Geriatr Soc 68:2207–2213, 2020.","container-title":"Journal of the American Geriatrics Society","DOI":"10.1111/jgs.16713","ISSN":"1532-5415","issue":"10","language":"en","license":"© 2020 The American Geriatrics Society","note":"_eprint: https://onlinelibrary.wiley.com/doi/pdf/10.1111/jgs.16713","page":"2207-2213","source":"Wiley Online Library","title":"One Size Does Not Fit All: Choosing Practical Cognitive Screening Tools for Your Practice","title-short":"One Size Does Not Fit All","volume":"68","author":[{"family":"Molnar","given":"Frank J."},{"family":"Benjamin","given":"Sophiya"},{"family":"Hawkins","given":"Stacey A."},{"family":"Briscoe","given":"Melanie"},{"family":"Ehsan","given":"Sabeen"}],"issued":{"date-parts":[["2020"]]}}}],"schema":"https://github.com/citation-style-language/schema/raw/master/csl-citation.json"} </w:instrText>
      </w:r>
      <w:r w:rsidRPr="00DD3983">
        <w:rPr>
          <w:rFonts w:ascii="Arial" w:hAnsi="Arial" w:cs="Arial"/>
          <w:sz w:val="22"/>
          <w:szCs w:val="22"/>
        </w:rPr>
        <w:fldChar w:fldCharType="separate"/>
      </w:r>
      <w:r w:rsidRPr="00025355" w:rsidR="00025355">
        <w:rPr>
          <w:rFonts w:ascii="Arial" w:hAnsi="Arial" w:cs="Arial"/>
          <w:sz w:val="22"/>
          <w:vertAlign w:val="superscript"/>
        </w:rPr>
        <w:t>59</w:t>
      </w:r>
      <w:r w:rsidRPr="00DD3983">
        <w:rPr>
          <w:rFonts w:ascii="Arial" w:hAnsi="Arial" w:cs="Arial"/>
          <w:sz w:val="22"/>
          <w:szCs w:val="22"/>
        </w:rPr>
        <w:fldChar w:fldCharType="end"/>
      </w:r>
      <w:r w:rsidRPr="00DD3983">
        <w:rPr>
          <w:rFonts w:ascii="Arial" w:hAnsi="Arial" w:cs="Arial"/>
          <w:sz w:val="22"/>
          <w:szCs w:val="22"/>
        </w:rPr>
        <w:t xml:space="preserve"> </w:t>
      </w:r>
      <w:r w:rsidR="00612816">
        <w:rPr>
          <w:rFonts w:ascii="Arial" w:hAnsi="Arial" w:cs="Arial"/>
          <w:sz w:val="22"/>
          <w:szCs w:val="22"/>
        </w:rPr>
        <w:t xml:space="preserve">Why this is problematic is there exists </w:t>
      </w:r>
      <w:r w:rsidRPr="00DD3983">
        <w:rPr>
          <w:rFonts w:ascii="Arial" w:hAnsi="Arial" w:cs="Arial"/>
          <w:sz w:val="22"/>
          <w:szCs w:val="22"/>
        </w:rPr>
        <w:t xml:space="preserve">a significant impact of socio-demographic factors on the validity of these scores, </w:t>
      </w:r>
      <w:r w:rsidRPr="00DD3983" w:rsidR="00880774">
        <w:rPr>
          <w:rFonts w:ascii="Arial" w:hAnsi="Arial" w:cs="Arial"/>
          <w:sz w:val="22"/>
          <w:szCs w:val="22"/>
        </w:rPr>
        <w:t>which has</w:t>
      </w:r>
      <w:r w:rsidRPr="00DD3983">
        <w:rPr>
          <w:rFonts w:ascii="Arial" w:hAnsi="Arial" w:cs="Arial"/>
          <w:sz w:val="22"/>
          <w:szCs w:val="22"/>
        </w:rPr>
        <w:t xml:space="preserve"> complicated their applicability for large scale screening efforts</w:t>
      </w:r>
      <w:r w:rsidR="00C01756">
        <w:rPr>
          <w:rFonts w:ascii="Arial" w:hAnsi="Arial" w:cs="Arial"/>
          <w:sz w:val="22"/>
          <w:szCs w:val="22"/>
        </w:rPr>
        <w:t>.</w:t>
      </w:r>
      <w:r w:rsidRPr="00DD3983">
        <w:rPr>
          <w:rFonts w:ascii="Arial" w:hAnsi="Arial" w:cs="Arial"/>
          <w:sz w:val="22"/>
          <w:szCs w:val="22"/>
        </w:rPr>
        <w:fldChar w:fldCharType="begin"/>
      </w:r>
      <w:r w:rsidR="00025355">
        <w:rPr>
          <w:rFonts w:ascii="Arial" w:hAnsi="Arial" w:cs="Arial"/>
          <w:sz w:val="22"/>
          <w:szCs w:val="22"/>
        </w:rPr>
        <w:instrText xml:space="preserve"> ADDIN ZOTERO_ITEM CSL_CITATION {"citationID":"kHGxyCMB","properties":{"formattedCitation":"\\super 56,58,60\\nosupersub{}","plainCitation":"56,58,60","noteIndex":0},"citationItems":[{"id":1577,"uris":["http://zotero.org/users/10927406/items/C4HL3PG5"],"itemData":{"id":1577,"type":"article-journal","abstract":"We assessed the diagnostic accuracy of the German version of the Addenbrooke’s Cognitive Examination (ACE) in identifying early Alzheimer’s disease (AD) and mild vascular dementia (VaD) in comparison with the conventional Mini-Mental State Examination (MMSE). The study refers to 50 patients with mild dementia of AD, 26 patients with mild dementia of vascular etiology and to 54 cognitively normal subjects. The ACE and MMSE were validated against an expert diagnosis based on a comprehensive diagnostic workup. Statistical analysis was performed using the receiver operator characteristics method. The optimal cut-off score for the ACE for detecting dementia in patients with early AD was 85/86, which had a sensitivity of 93% and a specificity of 86%. The optimal cut-off for the ACE for the identification of dementia in patients with mild VaD was also 85/86 and it had a sensitivity of 93% and a specificity of 100%. The ĸ values imply a substantial agreement between the diagnoses made by the ACE and the MMSE. The German version of the ACE is a short and practical but accurate test battery for the identification of AD and VaD, assessing a broad range of cognitive functions and providing a wide profile of cognitive functions/dysfunctions.","container-title":"Dementia and Geriatric Cognitive Disorders","DOI":"10.1159/000095642","ISSN":"1420-8008","issue":"5-6","journalAbbreviation":"Dementia and Geriatric Cognitive Disorders","page":"385-391","source":"Silverchair","title":"Validation of the Addenbrooke’s Cognitive Examination for Detecting Early Alzheimer’s Disease and Mild Vascular Dementia in a German Population","volume":"22","author":[{"family":"Alexopoulos","given":"P."},{"family":"Greim","given":"B."},{"family":"Nadler","given":"K."},{"family":"Martens","given":"U."},{"family":"Krecklow","given":"B."},{"family":"Domes","given":"G."},{"family":"Herpertz","given":"S."},{"family":"Kurz","given":"A."}],"issued":{"date-parts":[["2006",11,3]]}}},{"id":1548,"uris":["http://zotero.org/users/10927406/items/GYSA9DH4"],"itemData":{"id":1548,"type":"article-journal","abstract":"Background The Alzheimer's Disease Assessment Scale Cognitive Behavior Section (ADAS-cog), a measure of cognitive performance, has been used widely in Alzheimer's disease trials. Its key role in clinical trials should be supported by evidence that it is both clinically meaningful and scientifically sound. Its conceptual and neuropsychological underpinnings are well-considered, but its performance as an instrument of measurement has received less attention.\nObjective To examine the traditional psychometric properties of the ADAS-cog in a large sample of people with Alzheimer's disease.\nMethods Data from three clinical trials of donepezil (Aricept) in mild-to-moderate Alzheimer's disease (n=1421; MMSE 10–26) were analysed at both the scale and component level. Five psychometric properties were examined using traditional psychometric methods. These methods of examination underpin upcoming Food and Drug Administration recommendations for patient rating scale evaluation.\nResults At the scale-level, criteria tested for data completeness, scaling assumptions (eg, component total correlations: 0.39–0.67), targeting (no floor or ceiling effects), reliability (eg, Cronbach's α: = 0.84; test-retest intraclass correlations: 0.93) and validity (correlation with MMSE: −0.63) were satisfied. At the component level, 7 of 11 ADAS-cog components had substantial ceiling effects (range 40–64%).\nConclusions Performance was satisfactory at the scale level, but most ADAS-cog components were too easy for many patients in this sample and did not reflect the expected depth and range of cognitive performance. The clinical implication of this finding is that the ADAS-cog's estimate of cognitive ability, and its potential ability to detect differences in cognitive performance under treatment, could be improved. However, because of the limitations of traditional psychometric methods, further evaluations would be desirable using additional rating scale analysis techniques to pinpoint specific improvements.","container-title":"Journal of Neurology, Neurosurgery &amp; Psychiatry","DOI":"10.1136/jnnp.2009.204008","ISSN":"0022-3050, 1468-330X","issue":"12","language":"en","license":"© 2010, Published by the BMJ Publishing Group Limited. For permission to use (where not already granted under a licence) please go to http://group.bmj.com.proxy1.lib.uwo.ca/group/rights-licensing/permissions.","note":"publisher: BMJ Publishing Group Ltd\nsection: Research paper\nPMID: 20881017","page":"1363-1368","source":"jnnp-bmj-com.proxy1.lib.uwo.ca","title":"The ADAS-cog in Alzheimer's disease clinical trials: psychometric evaluation of the sum and its parts","title-short":"The ADAS-cog in Alzheimer's disease clinical trials","volume":"81","author":[{"family":"Cano","given":"Stefan J."},{"family":"Posner","given":"Holly B."},{"family":"Moline","given":"Margaret L."},{"family":"Hurt","given":"Stephen W."},{"family":"Swartz","given":"Jina"},{"family":"Hsu","given":"Tim"},{"family":"Hobart","given":"Jeremy C."}],"issued":{"date-parts":[["2010",12,1]]}}},{"id":1580,"uris":["http://zotero.org/users/10927406/items/BIBG9XZE"],"itemData":{"id":1580,"type":"article-journal","abstract":"Specific cutoff scores on the Mini Mental State Examination (MMSE) and the Logical Memory (LM) test are used to determine inclusion in Alzheimer’s disease (AD) clinical trials and diagnostic studies. These screening measures have known psychometric limitations, but no study has examined the diagnostic accuracy of the cutoff scores used to determine entry into AD clinical trials and diagnostic studies.","container-title":"Alzheimer's Research &amp; Therapy","DOI":"10.1186/s13195-016-0176-z","ISSN":"1758-9193","issue":"1","journalAbbreviation":"Alzheimer's Research &amp; Therapy","page":"9","source":"BioMed Central","title":"Mini Mental State Examination and Logical Memory scores for entry into Alzheimer’s disease trials","volume":"8","author":[{"family":"Chapman","given":"Kimberly R."},{"family":"Bing-Canar","given":"Hanaan"},{"family":"Alosco","given":"Michael L."},{"family":"Steinberg","given":"Eric G."},{"family":"Martin","given":"Brett"},{"family":"Chaisson","given":"Christine"},{"family":"Kowall","given":"Neil"},{"family":"Tripodis","given":"Yorghos"},{"family":"Stern","given":"Robert A."}],"issued":{"date-parts":[["2016",2,22]]}}}],"schema":"https://github.com/citation-style-language/schema/raw/master/csl-citation.json"} </w:instrText>
      </w:r>
      <w:r w:rsidRPr="00DD3983">
        <w:rPr>
          <w:rFonts w:ascii="Arial" w:hAnsi="Arial" w:cs="Arial"/>
          <w:sz w:val="22"/>
          <w:szCs w:val="22"/>
        </w:rPr>
        <w:fldChar w:fldCharType="separate"/>
      </w:r>
      <w:r w:rsidRPr="00025355" w:rsidR="00025355">
        <w:rPr>
          <w:rFonts w:ascii="Arial" w:hAnsi="Arial" w:cs="Arial"/>
          <w:sz w:val="22"/>
          <w:vertAlign w:val="superscript"/>
        </w:rPr>
        <w:t>56,58,60</w:t>
      </w:r>
      <w:r w:rsidRPr="00DD3983">
        <w:rPr>
          <w:rFonts w:ascii="Arial" w:hAnsi="Arial" w:cs="Arial"/>
          <w:sz w:val="22"/>
          <w:szCs w:val="22"/>
        </w:rPr>
        <w:fldChar w:fldCharType="end"/>
      </w:r>
      <w:r w:rsidRPr="00DD3983">
        <w:rPr>
          <w:rFonts w:ascii="Arial" w:hAnsi="Arial" w:cs="Arial"/>
          <w:sz w:val="22"/>
          <w:szCs w:val="22"/>
        </w:rPr>
        <w:t xml:space="preserve"> Some of the most prevalent socio-demographic considerations for these assessments revolve around language, culture, and level of education obtained</w:t>
      </w:r>
      <w:r w:rsidR="00C01756">
        <w:rPr>
          <w:rFonts w:ascii="Arial" w:hAnsi="Arial" w:cs="Arial"/>
          <w:sz w:val="22"/>
          <w:szCs w:val="22"/>
        </w:rPr>
        <w:t>.</w:t>
      </w:r>
      <w:r w:rsidRPr="00DD3983">
        <w:rPr>
          <w:rFonts w:ascii="Arial" w:hAnsi="Arial" w:cs="Arial"/>
          <w:sz w:val="22"/>
          <w:szCs w:val="22"/>
        </w:rPr>
        <w:fldChar w:fldCharType="begin"/>
      </w:r>
      <w:r w:rsidR="00025355">
        <w:rPr>
          <w:rFonts w:ascii="Arial" w:hAnsi="Arial" w:cs="Arial"/>
          <w:sz w:val="22"/>
          <w:szCs w:val="22"/>
        </w:rPr>
        <w:instrText xml:space="preserve"> ADDIN ZOTERO_ITEM CSL_CITATION {"citationID":"8jJgnWEo","properties":{"formattedCitation":"\\super 59\\nosupersub{}","plainCitation":"59","noteIndex":0},"citationItems":[{"id":1562,"uris":["http://zotero.org/users/10927406/items/8UHCCD88"],"itemData":{"id":1562,"type":"article-journal","abstract":"Every year, millions of patients worldwide undergo cognitive testing. Unfortunately, new barriers to the use of free open access cognitive screening tools have arisen over time, making accessibility of tools unstable. This article is in follow-up to an editorial discussing alternative cognitive screening tools for those who cannot afford the costs of the Mini-Mental State Examination and Montreal Cognitive Assessment (see www.dementiascreen.ca). The current article outlines an emerging disruptive “free-to-fee” cycle where free open access cognitive screening tools are integrated into clinical practice and guidelines, where fees are then levied for the use of the tools, resulting in clinicians moving on to other tools. This article provides recommendations on means to break this cycle, including the development of tool kits of valid cognitive screening tools that authors have contracted not to charge for (i.e., have agreed to keep free open access). The PRACTICAL.1 Criteria (PRACTIcing Clinician Accessibility and Logistical Criteria Version 1) are introduced to help clinicians select from validated cognitive screening tools, considering barriers and facilitators, such as whether the cognitive screening tools are easy to score and free of cost. It is suggested that future systematic reviews embed the PRACTICAL.1 criteria, or refined future versions, as part of the standard of review. Methodological issues, the need for open access training to insure proper use of cognitive screening tools, and the need to anticipate growing ethnolinguistic diversity by developing tools that are less sensitive to educational, cultural, and linguistic bias are discussed in this opinion piece. J Am Geriatr Soc 68:2207–2213, 2020.","container-title":"Journal of the American Geriatrics Society","DOI":"10.1111/jgs.16713","ISSN":"1532-5415","issue":"10","language":"en","license":"© 2020 The American Geriatrics Society","note":"_eprint: https://onlinelibrary.wiley.com/doi/pdf/10.1111/jgs.16713","page":"2207-2213","source":"Wiley Online Library","title":"One Size Does Not Fit All: Choosing Practical Cognitive Screening Tools for Your Practice","title-short":"One Size Does Not Fit All","volume":"68","author":[{"family":"Molnar","given":"Frank J."},{"family":"Benjamin","given":"Sophiya"},{"family":"Hawkins","given":"Stacey A."},{"family":"Briscoe","given":"Melanie"},{"family":"Ehsan","given":"Sabeen"}],"issued":{"date-parts":[["2020"]]}}}],"schema":"https://github.com/citation-style-language/schema/raw/master/csl-citation.json"} </w:instrText>
      </w:r>
      <w:r w:rsidRPr="00DD3983">
        <w:rPr>
          <w:rFonts w:ascii="Arial" w:hAnsi="Arial" w:cs="Arial"/>
          <w:sz w:val="22"/>
          <w:szCs w:val="22"/>
        </w:rPr>
        <w:fldChar w:fldCharType="separate"/>
      </w:r>
      <w:r w:rsidRPr="00025355" w:rsidR="00025355">
        <w:rPr>
          <w:rFonts w:ascii="Arial" w:hAnsi="Arial" w:cs="Arial"/>
          <w:sz w:val="22"/>
          <w:vertAlign w:val="superscript"/>
        </w:rPr>
        <w:t>59</w:t>
      </w:r>
      <w:r w:rsidRPr="00DD3983">
        <w:rPr>
          <w:rFonts w:ascii="Arial" w:hAnsi="Arial" w:cs="Arial"/>
          <w:sz w:val="22"/>
          <w:szCs w:val="22"/>
        </w:rPr>
        <w:fldChar w:fldCharType="end"/>
      </w:r>
      <w:r w:rsidRPr="00DD3983">
        <w:rPr>
          <w:rFonts w:ascii="Arial" w:hAnsi="Arial" w:cs="Arial"/>
          <w:sz w:val="22"/>
          <w:szCs w:val="22"/>
        </w:rPr>
        <w:t xml:space="preserve"> </w:t>
      </w:r>
      <w:r w:rsidRPr="00DD3983" w:rsidR="008444C5">
        <w:rPr>
          <w:rFonts w:ascii="Arial" w:hAnsi="Arial" w:cs="Arial"/>
          <w:sz w:val="22"/>
          <w:szCs w:val="22"/>
        </w:rPr>
        <w:t>Specifically, t</w:t>
      </w:r>
      <w:r w:rsidRPr="00DD3983">
        <w:rPr>
          <w:rFonts w:ascii="Arial" w:hAnsi="Arial" w:cs="Arial"/>
          <w:sz w:val="22"/>
          <w:szCs w:val="22"/>
        </w:rPr>
        <w:t xml:space="preserve">hese socio-demographic factors such as gender, reading level, and age have also been observed to significantly impact the validity of certain subscales of the Mattis Dementia Rating Scale-2 (MDRS-2) with these factors </w:t>
      </w:r>
      <w:r w:rsidRPr="00DD3983" w:rsidR="00E25A4D">
        <w:rPr>
          <w:rFonts w:ascii="Arial" w:hAnsi="Arial" w:cs="Arial"/>
          <w:sz w:val="22"/>
          <w:szCs w:val="22"/>
        </w:rPr>
        <w:t>alone</w:t>
      </w:r>
      <w:r w:rsidRPr="00DD3983">
        <w:rPr>
          <w:rFonts w:ascii="Arial" w:hAnsi="Arial" w:cs="Arial"/>
          <w:sz w:val="22"/>
          <w:szCs w:val="22"/>
        </w:rPr>
        <w:t xml:space="preserve"> representing 38.6% of the variance in MDRS-2 scores</w:t>
      </w:r>
      <w:r w:rsidR="00C01756">
        <w:rPr>
          <w:rFonts w:ascii="Arial" w:hAnsi="Arial" w:cs="Arial"/>
          <w:sz w:val="22"/>
          <w:szCs w:val="22"/>
        </w:rPr>
        <w:t>.</w:t>
      </w:r>
      <w:r w:rsidRPr="00DD3983">
        <w:rPr>
          <w:rFonts w:ascii="Arial" w:hAnsi="Arial" w:cs="Arial"/>
          <w:sz w:val="22"/>
          <w:szCs w:val="22"/>
        </w:rPr>
        <w:fldChar w:fldCharType="begin"/>
      </w:r>
      <w:r w:rsidR="00025355">
        <w:rPr>
          <w:rFonts w:ascii="Arial" w:hAnsi="Arial" w:cs="Arial"/>
          <w:sz w:val="22"/>
          <w:szCs w:val="22"/>
        </w:rPr>
        <w:instrText xml:space="preserve"> ADDIN ZOTERO_ITEM CSL_CITATION {"citationID":"1RZbprVU","properties":{"formattedCitation":"\\super 61\\nosupersub{}","plainCitation":"61","noteIndex":0},"citationItems":[{"id":1545,"uris":["http://zotero.org/users/10927406/items/SMQMZLBV"],"itemData":{"id":1545,"type":"article-journal","abstract":"Objective We aimed to analyse the clinical utility of the Mattis Dementia Rating Scale (MDRS-2) for early detection of Alzheimer's disease (AD) and amnestic mild cognitive impairment (MCI) in a sample of Spanish older adults. Methods A total of 125 participants (age = 75.12 ± 6.83, years of education =7.08 ± 3.57) were classified in three diagnostic groups: 45 patients with mild AD, 37 with amnestic MCI—single and multiple domain and 43 cognitively healthy controls (HCs). Reliability, criterion validity and diagnostic accuracy of the MDRS-2 (total and subscales) were analysed. The MDRS-2 scores, adjusted by socio-demographic characteristics, were calculated through hierarchical multiple regression analysis. Results The global scale had adequate reliability (α = 0.736) and good criterion validity (r = 0.760, p &lt; .001) with the Mini-Mental State Examination. The optimal cut-off point between AD patients and HCs was 124 (sensitivity [Se] = 97% and specificity [Sp] = 95%), whereas 131 (Se = 89%, Sp = 81%) was the optimal cut-off point between MCI and HCs. An optimal cut-off point of 123 had good Se (0.97), but poor Sp (0.56) to differentiate AD and MCI groups. The Memory and Initiation/Perseveration subscales had the highest discriminative capacity between the groups. Conclusions The MDRS-2 is a reliable and valid instrument for the assessment of cognitive impairment in Spanish older adults. In particular, optimal capacity emerged for the detection of early AD and MCI. Copyright © 2017 John Wiley &amp; Sons, Ltd.","container-title":"International Journal of Geriatric Psychiatry","DOI":"10.1002/gps.4707","ISSN":"1099-1166","issue":"6","language":"en","note":"_eprint: https://onlinelibrary.wiley.com/doi/pdf/10.1002/gps.4707","page":"832-840","source":"Wiley Online Library","title":"Spanish version of the Mattis Dementia Rating Scale-2 for early detection of Alzheimer's disease and mild cognitive impairment","volume":"33","author":[{"family":"Boycheva","given":"Elina"},{"family":"Contador","given":"Israel"},{"family":"Fernández-Calvo","given":"Bernardino"},{"family":"Ramos-Campos","given":"Francisco"},{"family":"Puertas-Martín","given":"Verónica"},{"family":"Villarejo-Galende","given":"Alberto"},{"family":"Bermejo-Pareja","given":"Félix"}],"issued":{"date-parts":[["2018"]]}}}],"schema":"https://github.com/citation-style-language/schema/raw/master/csl-citation.json"} </w:instrText>
      </w:r>
      <w:r w:rsidRPr="00DD3983">
        <w:rPr>
          <w:rFonts w:ascii="Arial" w:hAnsi="Arial" w:cs="Arial"/>
          <w:sz w:val="22"/>
          <w:szCs w:val="22"/>
        </w:rPr>
        <w:fldChar w:fldCharType="separate"/>
      </w:r>
      <w:r w:rsidRPr="00025355" w:rsidR="00025355">
        <w:rPr>
          <w:rFonts w:ascii="Arial" w:hAnsi="Arial" w:cs="Arial"/>
          <w:sz w:val="22"/>
          <w:vertAlign w:val="superscript"/>
        </w:rPr>
        <w:t>61</w:t>
      </w:r>
      <w:r w:rsidRPr="00DD3983">
        <w:rPr>
          <w:rFonts w:ascii="Arial" w:hAnsi="Arial" w:cs="Arial"/>
          <w:sz w:val="22"/>
          <w:szCs w:val="22"/>
        </w:rPr>
        <w:fldChar w:fldCharType="end"/>
      </w:r>
      <w:r w:rsidRPr="00DD3983" w:rsidR="005D2873">
        <w:rPr>
          <w:rFonts w:ascii="Arial" w:hAnsi="Arial" w:cs="Arial"/>
          <w:sz w:val="22"/>
          <w:szCs w:val="22"/>
        </w:rPr>
        <w:t xml:space="preserve"> The lack of widely accepted practical guidelines for standardized cut-off scores increases ambiguity when determining the presence of MCI. Research examining verbal fluency tests, which are frequently included in cognitive assessment batteries, demonstrated significant variability in discriminatory ability between healthy controls and individuals with MCI. The area under the curv</w:t>
      </w:r>
      <w:r w:rsidRPr="00DD3983" w:rsidR="008B340C">
        <w:rPr>
          <w:rFonts w:ascii="Arial" w:hAnsi="Arial" w:cs="Arial"/>
          <w:sz w:val="22"/>
          <w:szCs w:val="22"/>
        </w:rPr>
        <w:t>e</w:t>
      </w:r>
      <w:r w:rsidRPr="00DD3983" w:rsidR="005D2873">
        <w:rPr>
          <w:rFonts w:ascii="Arial" w:hAnsi="Arial" w:cs="Arial"/>
          <w:sz w:val="22"/>
          <w:szCs w:val="22"/>
        </w:rPr>
        <w:t xml:space="preserve"> values ranged from 0.842 for animal naming to 0.689 for action fluency, despite these tasks measuring similar cognitive functions. This inconsistency in diagnostic accuracy across closely related cognitive measures illustrates how the absence of standardized protocols and thresholds complicates</w:t>
      </w:r>
      <w:r w:rsidRPr="00DD3983" w:rsidR="00083EFE">
        <w:rPr>
          <w:rFonts w:ascii="Arial" w:hAnsi="Arial" w:cs="Arial"/>
          <w:sz w:val="22"/>
          <w:szCs w:val="22"/>
        </w:rPr>
        <w:t xml:space="preserve"> generalizable and</w:t>
      </w:r>
      <w:r w:rsidRPr="00DD3983" w:rsidR="005D2873">
        <w:rPr>
          <w:rFonts w:ascii="Arial" w:hAnsi="Arial" w:cs="Arial"/>
          <w:sz w:val="22"/>
          <w:szCs w:val="22"/>
        </w:rPr>
        <w:t xml:space="preserve"> reliable assessment across diverse clinical settings and </w:t>
      </w:r>
      <w:r w:rsidRPr="00DD3983" w:rsidR="001A3EAA">
        <w:rPr>
          <w:rFonts w:ascii="Arial" w:hAnsi="Arial" w:cs="Arial"/>
          <w:sz w:val="22"/>
          <w:szCs w:val="22"/>
        </w:rPr>
        <w:t>populations.</w:t>
      </w:r>
      <w:r w:rsidRPr="00DD3983" w:rsidR="00670439">
        <w:rPr>
          <w:rFonts w:ascii="Arial" w:hAnsi="Arial" w:cs="Arial"/>
          <w:sz w:val="22"/>
          <w:szCs w:val="22"/>
        </w:rPr>
        <w:fldChar w:fldCharType="begin"/>
      </w:r>
      <w:r w:rsidR="00025355">
        <w:rPr>
          <w:rFonts w:ascii="Arial" w:hAnsi="Arial" w:cs="Arial"/>
          <w:sz w:val="22"/>
          <w:szCs w:val="22"/>
        </w:rPr>
        <w:instrText xml:space="preserve"> ADDIN ZOTERO_ITEM CSL_CITATION {"citationID":"5laxF4za","properties":{"formattedCitation":"\\super 62\\nosupersub{}","plainCitation":"62","noteIndex":0},"citationItems":[{"id":2033,"uris":["http://zotero.org/users/10927406/items/SVUPXITN"],"itemData":{"id":2033,"type":"thesis","event-place":"Szeged, Hungary","genre":"PhD","language":"en","note":"page: 11568\nDOI: 10.14232/phd.11568","publisher":"Szegedi Tudományegyetem","publisher-place":"Szeged, Hungary","source":"DOI.org (Crossref)","title":"Early recognition of neurocognitive disorders: Dementia screening in primary care and the detection of mild cognitive impairment via verbal fluency tests","title-short":"Early recognition of neurocognitive disorders","URL":"http://doktori.bibl.u-szeged.hu/11568/","author":[{"family":"Balogh","given":"Réka"}],"accessed":{"date-parts":[["2025",3,24]]},"issued":{"date-parts":[["2023",6,8]]}}}],"schema":"https://github.com/citation-style-language/schema/raw/master/csl-citation.json"} </w:instrText>
      </w:r>
      <w:r w:rsidRPr="00DD3983" w:rsidR="00670439">
        <w:rPr>
          <w:rFonts w:ascii="Arial" w:hAnsi="Arial" w:cs="Arial"/>
          <w:sz w:val="22"/>
          <w:szCs w:val="22"/>
        </w:rPr>
        <w:fldChar w:fldCharType="separate"/>
      </w:r>
      <w:r w:rsidRPr="00025355" w:rsidR="00025355">
        <w:rPr>
          <w:rFonts w:ascii="Arial" w:hAnsi="Arial" w:cs="Arial"/>
          <w:sz w:val="22"/>
          <w:vertAlign w:val="superscript"/>
        </w:rPr>
        <w:t>62</w:t>
      </w:r>
      <w:r w:rsidRPr="00DD3983" w:rsidR="00670439">
        <w:rPr>
          <w:rFonts w:ascii="Arial" w:hAnsi="Arial" w:cs="Arial"/>
          <w:sz w:val="22"/>
          <w:szCs w:val="22"/>
        </w:rPr>
        <w:fldChar w:fldCharType="end"/>
      </w:r>
    </w:p>
    <w:p w:rsidRPr="00DD3983" w:rsidR="004C5A74" w:rsidP="004C5A74" w:rsidRDefault="004C5A74" w14:paraId="793DB7CD" w14:textId="77777777">
      <w:pPr>
        <w:pStyle w:val="NormalWeb"/>
        <w:spacing w:before="0" w:beforeAutospacing="0" w:after="0" w:afterAutospacing="0"/>
        <w:jc w:val="both"/>
        <w:rPr>
          <w:rFonts w:ascii="Arial" w:hAnsi="Arial" w:cs="Arial"/>
          <w:sz w:val="22"/>
          <w:szCs w:val="22"/>
        </w:rPr>
      </w:pPr>
    </w:p>
    <w:p w:rsidRPr="00595CC0" w:rsidR="0079012D" w:rsidP="00A701AA" w:rsidRDefault="005B63A5" w14:paraId="530B968B" w14:textId="6B427A56">
      <w:pPr>
        <w:pStyle w:val="Heading3"/>
        <w:spacing w:before="0" w:after="0"/>
        <w:rPr>
          <w:rFonts w:cs="Arial"/>
          <w:iCs/>
          <w:sz w:val="22"/>
          <w:szCs w:val="22"/>
        </w:rPr>
      </w:pPr>
      <w:r w:rsidRPr="00595CC0">
        <w:rPr>
          <w:iCs/>
        </w:rPr>
        <w:t>Conceptual</w:t>
      </w:r>
      <w:r w:rsidRPr="00595CC0" w:rsidR="00CC5C28">
        <w:rPr>
          <w:rFonts w:cs="Arial"/>
          <w:iCs/>
          <w:sz w:val="22"/>
          <w:szCs w:val="22"/>
        </w:rPr>
        <w:t xml:space="preserve"> Barriers</w:t>
      </w:r>
    </w:p>
    <w:p w:rsidR="0079012D" w:rsidP="00A701AA" w:rsidRDefault="00DE56DD" w14:paraId="169E5410" w14:textId="00B36EDA">
      <w:pPr>
        <w:pStyle w:val="NormalWeb"/>
        <w:spacing w:before="0" w:beforeAutospacing="0" w:after="0" w:afterAutospacing="0"/>
        <w:jc w:val="both"/>
        <w:rPr>
          <w:rFonts w:ascii="Arial" w:hAnsi="Arial" w:cs="Arial"/>
          <w:sz w:val="22"/>
          <w:szCs w:val="22"/>
        </w:rPr>
      </w:pPr>
      <w:r w:rsidRPr="00DD3983">
        <w:rPr>
          <w:rFonts w:ascii="Arial" w:hAnsi="Arial" w:cs="Arial"/>
          <w:sz w:val="22"/>
          <w:szCs w:val="22"/>
        </w:rPr>
        <w:t>T</w:t>
      </w:r>
      <w:r w:rsidRPr="00DD3983" w:rsidR="0079012D">
        <w:rPr>
          <w:rFonts w:ascii="Arial" w:hAnsi="Arial" w:cs="Arial"/>
          <w:sz w:val="22"/>
          <w:szCs w:val="22"/>
        </w:rPr>
        <w:t>he analyzed papers</w:t>
      </w:r>
      <w:r w:rsidRPr="00DD3983" w:rsidR="00C31A85">
        <w:rPr>
          <w:rFonts w:ascii="Arial" w:hAnsi="Arial" w:cs="Arial"/>
          <w:sz w:val="22"/>
          <w:szCs w:val="22"/>
        </w:rPr>
        <w:t xml:space="preserve"> also</w:t>
      </w:r>
      <w:r w:rsidRPr="00DD3983" w:rsidR="0079012D">
        <w:rPr>
          <w:rFonts w:ascii="Arial" w:hAnsi="Arial" w:cs="Arial"/>
          <w:sz w:val="22"/>
          <w:szCs w:val="22"/>
        </w:rPr>
        <w:t xml:space="preserve"> provided insight </w:t>
      </w:r>
      <w:r w:rsidRPr="00DD3983" w:rsidR="00B86615">
        <w:rPr>
          <w:rFonts w:ascii="Arial" w:hAnsi="Arial" w:cs="Arial"/>
          <w:sz w:val="22"/>
          <w:szCs w:val="22"/>
        </w:rPr>
        <w:t>into</w:t>
      </w:r>
      <w:r w:rsidRPr="00DD3983" w:rsidR="0079012D">
        <w:rPr>
          <w:rFonts w:ascii="Arial" w:hAnsi="Arial" w:cs="Arial"/>
          <w:sz w:val="22"/>
          <w:szCs w:val="22"/>
        </w:rPr>
        <w:t xml:space="preserve"> the barriers related to </w:t>
      </w:r>
      <w:r w:rsidRPr="00DD3983" w:rsidR="00BC599A">
        <w:rPr>
          <w:rFonts w:ascii="Arial" w:hAnsi="Arial" w:cs="Arial"/>
          <w:sz w:val="22"/>
          <w:szCs w:val="22"/>
        </w:rPr>
        <w:t xml:space="preserve">fundamental theoretical </w:t>
      </w:r>
      <w:r w:rsidRPr="00DD3983" w:rsidR="00AF659C">
        <w:rPr>
          <w:rFonts w:ascii="Arial" w:hAnsi="Arial" w:cs="Arial"/>
          <w:sz w:val="22"/>
          <w:szCs w:val="22"/>
        </w:rPr>
        <w:t>limitations</w:t>
      </w:r>
      <w:r w:rsidRPr="00DD3983" w:rsidR="00B86615">
        <w:rPr>
          <w:rFonts w:ascii="Arial" w:hAnsi="Arial" w:cs="Arial"/>
          <w:sz w:val="22"/>
          <w:szCs w:val="22"/>
        </w:rPr>
        <w:t xml:space="preserve"> to</w:t>
      </w:r>
      <w:r w:rsidRPr="00DD3983" w:rsidR="0079012D">
        <w:rPr>
          <w:rFonts w:ascii="Arial" w:hAnsi="Arial" w:cs="Arial"/>
          <w:sz w:val="22"/>
          <w:szCs w:val="22"/>
        </w:rPr>
        <w:t xml:space="preserve"> how cognitive reserve and practice effects may impact the u</w:t>
      </w:r>
      <w:r w:rsidRPr="00DD3983" w:rsidR="00C31A85">
        <w:rPr>
          <w:rFonts w:ascii="Arial" w:hAnsi="Arial" w:cs="Arial"/>
          <w:sz w:val="22"/>
          <w:szCs w:val="22"/>
        </w:rPr>
        <w:t>tility</w:t>
      </w:r>
      <w:r w:rsidRPr="00DD3983" w:rsidR="0079012D">
        <w:rPr>
          <w:rFonts w:ascii="Arial" w:hAnsi="Arial" w:cs="Arial"/>
          <w:sz w:val="22"/>
          <w:szCs w:val="22"/>
        </w:rPr>
        <w:t xml:space="preserve"> of cognitive assessments. </w:t>
      </w:r>
      <w:r w:rsidRPr="00DD3983" w:rsidR="000F2307">
        <w:rPr>
          <w:rFonts w:ascii="Arial" w:hAnsi="Arial" w:cs="Arial"/>
          <w:sz w:val="22"/>
          <w:szCs w:val="22"/>
        </w:rPr>
        <w:t xml:space="preserve">Cognitive reserve represents a substantial challenge to </w:t>
      </w:r>
      <w:r w:rsidRPr="00DD3983" w:rsidR="00C31A85">
        <w:rPr>
          <w:rFonts w:ascii="Arial" w:hAnsi="Arial" w:cs="Arial"/>
          <w:sz w:val="22"/>
          <w:szCs w:val="22"/>
        </w:rPr>
        <w:t xml:space="preserve">AD </w:t>
      </w:r>
      <w:r w:rsidRPr="00DD3983" w:rsidR="000F2307">
        <w:rPr>
          <w:rFonts w:ascii="Arial" w:hAnsi="Arial" w:cs="Arial"/>
          <w:sz w:val="22"/>
          <w:szCs w:val="22"/>
        </w:rPr>
        <w:t xml:space="preserve">detection, as individuals with higher education or enriched life experiences can mask cognitive decline despite underlying neuropathology. As </w:t>
      </w:r>
      <w:r w:rsidR="00B8513A">
        <w:rPr>
          <w:rFonts w:ascii="Arial" w:hAnsi="Arial" w:cs="Arial"/>
          <w:sz w:val="22"/>
          <w:szCs w:val="22"/>
        </w:rPr>
        <w:t>one article</w:t>
      </w:r>
      <w:r w:rsidRPr="00DD3983" w:rsidR="000F2307">
        <w:rPr>
          <w:rFonts w:ascii="Arial" w:hAnsi="Arial" w:cs="Arial"/>
          <w:sz w:val="22"/>
          <w:szCs w:val="22"/>
        </w:rPr>
        <w:t xml:space="preserve"> argues, many widely used cognitive assessments lack sensitivity and specificity partly because they fail to account for this moderating factor. This theoretical weakness directly impacts the validity of participant selection in clinical trials and observational studies</w:t>
      </w:r>
      <w:r w:rsidR="00C01756">
        <w:rPr>
          <w:rFonts w:ascii="Arial" w:hAnsi="Arial" w:cs="Arial"/>
          <w:sz w:val="22"/>
          <w:szCs w:val="22"/>
        </w:rPr>
        <w:t>.</w:t>
      </w:r>
      <w:r w:rsidRPr="00DD3983" w:rsidR="00AF659C">
        <w:rPr>
          <w:rFonts w:ascii="Arial" w:hAnsi="Arial" w:cs="Arial"/>
          <w:sz w:val="22"/>
          <w:szCs w:val="22"/>
        </w:rPr>
        <w:fldChar w:fldCharType="begin"/>
      </w:r>
      <w:r w:rsidR="00025355">
        <w:rPr>
          <w:rFonts w:ascii="Arial" w:hAnsi="Arial" w:cs="Arial"/>
          <w:sz w:val="22"/>
          <w:szCs w:val="22"/>
        </w:rPr>
        <w:instrText xml:space="preserve"> ADDIN ZOTERO_ITEM CSL_CITATION {"citationID":"0ajI1gAY","properties":{"formattedCitation":"\\super 63\\nosupersub{}","plainCitation":"63","noteIndex":0},"citationItems":[{"id":1560,"uris":["http://zotero.org/users/10927406/items/AHMC47FG"],"itemData":{"id":1560,"type":"article-journal","abstract":"Recently, Alzheimer’s Disease International (ADI) stressed that around 75% of people living with dementia globally are still not receiving a diagnosis. In this commentary, I reflect on how efforts towards better cognitive assessments, particularly of memory, can be aligned and harmonized to contribute to such needs. I highlight some barriers that ongoing collaborations and trials are facing and their potential drivers. I suggest some strategies that can help overcome them and in so doing, integrate research agendas. We need to ignite the debate towards strategies that can help level the playfield to tackle Alzheimer’s disease with true global solutions.","container-title":"Journal of Alzheimer’s Disease","DOI":"10.3233/JAD-215445","ISSN":"1387-2877","issue":"3","language":"en","note":"publisher: SAGE Publications","page":"981-988","source":"SAGE Journals","title":"Barriers to Effective Memory Assessments for Alzheimer’s Disease","volume":"90","author":[{"family":"Parra","given":"Mario A."}],"issued":{"date-parts":[["2022",11,22]]}}}],"schema":"https://github.com/citation-style-language/schema/raw/master/csl-citation.json"} </w:instrText>
      </w:r>
      <w:r w:rsidRPr="00DD3983" w:rsidR="00AF659C">
        <w:rPr>
          <w:rFonts w:ascii="Arial" w:hAnsi="Arial" w:cs="Arial"/>
          <w:sz w:val="22"/>
          <w:szCs w:val="22"/>
        </w:rPr>
        <w:fldChar w:fldCharType="separate"/>
      </w:r>
      <w:r w:rsidRPr="00025355" w:rsidR="00025355">
        <w:rPr>
          <w:rFonts w:ascii="Arial" w:hAnsi="Arial" w:cs="Arial"/>
          <w:sz w:val="22"/>
          <w:vertAlign w:val="superscript"/>
        </w:rPr>
        <w:t>63</w:t>
      </w:r>
      <w:r w:rsidRPr="00DD3983" w:rsidR="00AF659C">
        <w:rPr>
          <w:rFonts w:ascii="Arial" w:hAnsi="Arial" w:cs="Arial"/>
          <w:sz w:val="22"/>
          <w:szCs w:val="22"/>
        </w:rPr>
        <w:fldChar w:fldCharType="end"/>
      </w:r>
      <w:r w:rsidRPr="00DD3983" w:rsidR="000F2307">
        <w:rPr>
          <w:rFonts w:ascii="Arial" w:hAnsi="Arial" w:cs="Arial"/>
          <w:sz w:val="22"/>
          <w:szCs w:val="22"/>
        </w:rPr>
        <w:t xml:space="preserve"> </w:t>
      </w:r>
      <w:r w:rsidRPr="00DD3983" w:rsidR="0079012D">
        <w:rPr>
          <w:rFonts w:ascii="Arial" w:hAnsi="Arial" w:cs="Arial"/>
          <w:sz w:val="22"/>
          <w:szCs w:val="22"/>
        </w:rPr>
        <w:t xml:space="preserve">Practice effects refer to the natural improvement of scores from patients who are administered a specific test </w:t>
      </w:r>
      <w:r w:rsidRPr="00DD3983" w:rsidR="00186302">
        <w:rPr>
          <w:rFonts w:ascii="Arial" w:hAnsi="Arial" w:cs="Arial"/>
          <w:sz w:val="22"/>
          <w:szCs w:val="22"/>
        </w:rPr>
        <w:t>multiple</w:t>
      </w:r>
      <w:r w:rsidRPr="00DD3983" w:rsidR="0079012D">
        <w:rPr>
          <w:rFonts w:ascii="Arial" w:hAnsi="Arial" w:cs="Arial"/>
          <w:sz w:val="22"/>
          <w:szCs w:val="22"/>
        </w:rPr>
        <w:t xml:space="preserve"> times, whereby learning the format and topic of the assessment they may have improved scores from the </w:t>
      </w:r>
      <w:r w:rsidRPr="00DD3983" w:rsidR="00BA357A">
        <w:rPr>
          <w:rFonts w:ascii="Arial" w:hAnsi="Arial" w:cs="Arial"/>
          <w:sz w:val="22"/>
          <w:szCs w:val="22"/>
        </w:rPr>
        <w:t>familiarity</w:t>
      </w:r>
      <w:r w:rsidRPr="00DD3983" w:rsidR="0079012D">
        <w:rPr>
          <w:rFonts w:ascii="Arial" w:hAnsi="Arial" w:cs="Arial"/>
          <w:sz w:val="22"/>
          <w:szCs w:val="22"/>
        </w:rPr>
        <w:t>, which may be particularly relevant concerning the early detection of cognitive decline or validity of clinical research trials where serial tests may be administered</w:t>
      </w:r>
      <w:r w:rsidR="00C01756">
        <w:rPr>
          <w:rFonts w:ascii="Arial" w:hAnsi="Arial" w:cs="Arial"/>
          <w:sz w:val="22"/>
          <w:szCs w:val="22"/>
        </w:rPr>
        <w:t>.</w:t>
      </w:r>
      <w:r w:rsidRPr="00DD3983" w:rsidR="0079012D">
        <w:rPr>
          <w:rFonts w:ascii="Arial" w:hAnsi="Arial" w:cs="Arial"/>
          <w:sz w:val="22"/>
          <w:szCs w:val="22"/>
        </w:rPr>
        <w:fldChar w:fldCharType="begin"/>
      </w:r>
      <w:r w:rsidR="00025355">
        <w:rPr>
          <w:rFonts w:ascii="Arial" w:hAnsi="Arial" w:cs="Arial"/>
          <w:sz w:val="22"/>
          <w:szCs w:val="22"/>
        </w:rPr>
        <w:instrText xml:space="preserve"> ADDIN ZOTERO_ITEM CSL_CITATION {"citationID":"94q6sy7Z","properties":{"formattedCitation":"\\super 64\\nosupersub{}","plainCitation":"64","noteIndex":0},"citationItems":[{"id":1658,"uris":["http://zotero.org/users/10927406/items/EZAHG5DC"],"itemData":{"id":1658,"type":"article-journal","abstract":"Introduction Practice effects (PEs) on cognitive tests obscure decline, thereby delaying detection of mild cognitive impairment (MCI). Importantly, PEs may be present even when there are performance declines, if scores would have been even lower without prior test exposure. We assessed how accounting for PEs using a replacement-participants method impacts incident MCI diagnosis. Methods Of 889 baseline cognitively normal (CN) Alzheimer's Disease Neuroimaging Initiative (ADNI) participants, 722 returned 1 year later (mean age = 74.9 ± 6.8 at baseline). The scores of test-naïve demographically matched “replacement” participants who took tests for the first time were compared to returnee scores at follow-up. PEs—calculated as the difference between returnee follow-up scores and replacement participants scores—were subtracted from follow-up scores of returnees. PE-adjusted cognitive scores were then used to determine if individuals were below the impairment threshold for MCI. Cerebrospinal fluid amyloid beta, phosphorylated tau, and total tau were used for criterion validation. In addition, based on screening and recruitment numbers from a clinical trial of amyloid-positive individuals, we estimated the effect of earlier detection of MCI by accounting for cognitive PEs on a hypothetical clinical trial in which the key outcome was progression to MCI. Results In the ADNI sample, PE-adjusted scores increased MCI incidence by 19% (P &lt; .001), increased proportion of amyloid-positive MCI cases (+12%), and reduced proportion of amyloid-positive CNs (–5%; P’s &lt; .04). Additional calculations showed that the earlier detection and increased MCI incidence would also substantially reduce necessary sample size and study duration for a clinical trial of progression to MCI. Cost savings were estimated at ≈$5.41 million. Discussion Detecting MCI as early as possible is of obvious importance. Accounting for cognitive PEs with the replacement-participants method leads to earlier detection of MCI, improved diagnostic accuracy, and can lead to multi-million-dollar cost reductions for clinical trials.","container-title":"Alzheimer's &amp; Dementia: Translational Research &amp; Clinical Interventions","DOI":"10.1002/trc2.12228","ISSN":"2352-8737","issue":"1","language":"en","license":"© 2022 The Authors. Alzheimer's &amp; Dementia: Diagnosis, Assessment &amp; Disease Monitoring published by Wiley Periodicals, LLC on behalf of Alzheimer's Association","note":"_eprint: https://onlinelibrary.wiley.com/doi/pdf/10.1002/trc2.12228","page":"e12228","source":"Wiley Online Library","title":"Cognitive practice effects delay diagnosis of MCI: Implications for clinical trials","title-short":"Cognitive practice effects delay diagnosis of MCI","volume":"8","author":[{"family":"Sanderson-Cimino","given":"Mark"},{"family":"Elman","given":"Jeremy A."},{"family":"Tu","given":"Xin M."},{"family":"Gross","given":"Alden L."},{"family":"Panizzon","given":"Matthew S."},{"family":"Gustavson","given":"Daniel E."},{"family":"Bondi","given":"Mark W."},{"family":"Edmonds","given":"Emily C."},{"family":"Eglit","given":"Graham M.L."},{"family":"Eppig","given":"Joel S."},{"family":"Franz","given":"Carol E."},{"family":"Jak","given":"Amy J."},{"family":"Lyons","given":"Michael J."},{"family":"Thomas","given":"Kelsey R."},{"family":"Williams","given":"McKenna E."},{"family":"Kremen","given":"William S."},{"family":"Initiative","given":"Alzheimer's Disease Neuroimaging"}],"issued":{"date-parts":[["2022"]]}}}],"schema":"https://github.com/citation-style-language/schema/raw/master/csl-citation.json"} </w:instrText>
      </w:r>
      <w:r w:rsidRPr="00DD3983" w:rsidR="0079012D">
        <w:rPr>
          <w:rFonts w:ascii="Arial" w:hAnsi="Arial" w:cs="Arial"/>
          <w:sz w:val="22"/>
          <w:szCs w:val="22"/>
        </w:rPr>
        <w:fldChar w:fldCharType="separate"/>
      </w:r>
      <w:r w:rsidRPr="00025355" w:rsidR="00025355">
        <w:rPr>
          <w:rFonts w:ascii="Arial" w:hAnsi="Arial" w:cs="Arial"/>
          <w:sz w:val="22"/>
          <w:vertAlign w:val="superscript"/>
        </w:rPr>
        <w:t>64</w:t>
      </w:r>
      <w:r w:rsidRPr="00DD3983" w:rsidR="0079012D">
        <w:rPr>
          <w:rFonts w:ascii="Arial" w:hAnsi="Arial" w:cs="Arial"/>
          <w:sz w:val="22"/>
          <w:szCs w:val="22"/>
        </w:rPr>
        <w:fldChar w:fldCharType="end"/>
      </w:r>
      <w:r w:rsidRPr="00DD3983" w:rsidR="0079012D">
        <w:rPr>
          <w:rFonts w:ascii="Arial" w:hAnsi="Arial" w:cs="Arial"/>
          <w:sz w:val="22"/>
          <w:szCs w:val="22"/>
        </w:rPr>
        <w:t xml:space="preserve"> </w:t>
      </w:r>
      <w:r w:rsidRPr="00DD3983" w:rsidR="00610451">
        <w:rPr>
          <w:rFonts w:ascii="Arial" w:hAnsi="Arial" w:cs="Arial"/>
          <w:sz w:val="22"/>
          <w:szCs w:val="22"/>
        </w:rPr>
        <w:t>When a</w:t>
      </w:r>
      <w:r w:rsidRPr="00DD3983" w:rsidR="0079012D">
        <w:rPr>
          <w:rFonts w:ascii="Arial" w:hAnsi="Arial" w:cs="Arial"/>
          <w:sz w:val="22"/>
          <w:szCs w:val="22"/>
        </w:rPr>
        <w:t>ccounting for practice effects</w:t>
      </w:r>
      <w:r w:rsidRPr="00DD3983" w:rsidR="00AC2C8E">
        <w:rPr>
          <w:rFonts w:ascii="Arial" w:hAnsi="Arial" w:cs="Arial"/>
          <w:sz w:val="22"/>
          <w:szCs w:val="22"/>
        </w:rPr>
        <w:t xml:space="preserve"> in cognitive assessments there was</w:t>
      </w:r>
      <w:r w:rsidRPr="00DD3983" w:rsidR="0079012D">
        <w:rPr>
          <w:rFonts w:ascii="Arial" w:hAnsi="Arial" w:cs="Arial"/>
          <w:sz w:val="22"/>
          <w:szCs w:val="22"/>
        </w:rPr>
        <w:t xml:space="preserve"> increased prevalence and incidence of MCI by 9.2% and 19% respectively</w:t>
      </w:r>
      <w:r w:rsidR="00C01756">
        <w:rPr>
          <w:rFonts w:ascii="Arial" w:hAnsi="Arial" w:cs="Arial"/>
          <w:sz w:val="22"/>
          <w:szCs w:val="22"/>
        </w:rPr>
        <w:t>.</w:t>
      </w:r>
      <w:r w:rsidRPr="00DD3983" w:rsidR="0079012D">
        <w:rPr>
          <w:rFonts w:ascii="Arial" w:hAnsi="Arial" w:cs="Arial"/>
          <w:sz w:val="22"/>
          <w:szCs w:val="22"/>
        </w:rPr>
        <w:fldChar w:fldCharType="begin"/>
      </w:r>
      <w:r w:rsidR="00025355">
        <w:rPr>
          <w:rFonts w:ascii="Arial" w:hAnsi="Arial" w:cs="Arial"/>
          <w:sz w:val="22"/>
          <w:szCs w:val="22"/>
        </w:rPr>
        <w:instrText xml:space="preserve"> ADDIN ZOTERO_ITEM CSL_CITATION {"citationID":"cKx1n7vz","properties":{"formattedCitation":"\\super 64,65\\nosupersub{}","plainCitation":"64,65","noteIndex":0},"citationItems":[{"id":1658,"uris":["http://zotero.org/users/10927406/items/EZAHG5DC"],"itemData":{"id":1658,"type":"article-journal","abstract":"Introduction Practice effects (PEs) on cognitive tests obscure decline, thereby delaying detection of mild cognitive impairment (MCI). Importantly, PEs may be present even when there are performance declines, if scores would have been even lower without prior test exposure. We assessed how accounting for PEs using a replacement-participants method impacts incident MCI diagnosis. Methods Of 889 baseline cognitively normal (CN) Alzheimer's Disease Neuroimaging Initiative (ADNI) participants, 722 returned 1 year later (mean age = 74.9 ± 6.8 at baseline). The scores of test-naïve demographically matched “replacement” participants who took tests for the first time were compared to returnee scores at follow-up. PEs—calculated as the difference between returnee follow-up scores and replacement participants scores—were subtracted from follow-up scores of returnees. PE-adjusted cognitive scores were then used to determine if individuals were below the impairment threshold for MCI. Cerebrospinal fluid amyloid beta, phosphorylated tau, and total tau were used for criterion validation. In addition, based on screening and recruitment numbers from a clinical trial of amyloid-positive individuals, we estimated the effect of earlier detection of MCI by accounting for cognitive PEs on a hypothetical clinical trial in which the key outcome was progression to MCI. Results In the ADNI sample, PE-adjusted scores increased MCI incidence by 19% (P &lt; .001), increased proportion of amyloid-positive MCI cases (+12%), and reduced proportion of amyloid-positive CNs (–5%; P’s &lt; .04). Additional calculations showed that the earlier detection and increased MCI incidence would also substantially reduce necessary sample size and study duration for a clinical trial of progression to MCI. Cost savings were estimated at ≈$5.41 million. Discussion Detecting MCI as early as possible is of obvious importance. Accounting for cognitive PEs with the replacement-participants method leads to earlier detection of MCI, improved diagnostic accuracy, and can lead to multi-million-dollar cost reductions for clinical trials.","container-title":"Alzheimer's &amp; Dementia: Translational Research &amp; Clinical Interventions","DOI":"10.1002/trc2.12228","ISSN":"2352-8737","issue":"1","language":"en","license":"© 2022 The Authors. Alzheimer's &amp; Dementia: Diagnosis, Assessment &amp; Disease Monitoring published by Wiley Periodicals, LLC on behalf of Alzheimer's Association","note":"_eprint: https://onlinelibrary.wiley.com/doi/pdf/10.1002/trc2.12228","page":"e12228","source":"Wiley Online Library","title":"Cognitive practice effects delay diagnosis of MCI: Implications for clinical trials","title-short":"Cognitive practice effects delay diagnosis of MCI","volume":"8","author":[{"family":"Sanderson-Cimino","given":"Mark"},{"family":"Elman","given":"Jeremy A."},{"family":"Tu","given":"Xin M."},{"family":"Gross","given":"Alden L."},{"family":"Panizzon","given":"Matthew S."},{"family":"Gustavson","given":"Daniel E."},{"family":"Bondi","given":"Mark W."},{"family":"Edmonds","given":"Emily C."},{"family":"Eglit","given":"Graham M.L."},{"family":"Eppig","given":"Joel S."},{"family":"Franz","given":"Carol E."},{"family":"Jak","given":"Amy J."},{"family":"Lyons","given":"Michael J."},{"family":"Thomas","given":"Kelsey R."},{"family":"Williams","given":"McKenna E."},{"family":"Kremen","given":"William S."},{"family":"Initiative","given":"Alzheimer's Disease Neuroimaging"}],"issued":{"date-parts":[["2022"]]}}},{"id":1607,"uris":["http://zotero.org/users/10927406/items/ALU2TW54"],"itemData":{"id":1607,"type":"article-journal","abstract":"&lt;sec&gt;&lt;title&gt;Objective&lt;/title&gt;&lt;p&gt;Cognitive practice effects (PEs) can delay detection of progression from cognitively unimpaired to mild cognitive impairment (MCI). They also reduce diagnostic accuracy as suggested by biomarker positivity data. Even among those who decline, PEs can mask steeper declines by inflating cognitive scores. Within MCI samples, PEs may increase reversion rates and thus impede detection of further impairment. Within an MCI sample at baseline, we evaluated how PEs impact prevalence, reversion rates, and dementia progression after 1 year.&lt;/p&gt;&lt;/sec&gt;&lt;sec&gt;&lt;title&gt;Methods&lt;/title&gt;&lt;p&gt;We examined 329 baseline Alzheimer’s Disease Neuroimaging Initiative MCI participants (mean age = 73.1; &lt;italic&gt;SD&lt;/italic&gt; = 7.4). We identified test-naïve participants who were demographically matched to returnees at their 1-year follow-up. Since the only major difference between groups was that one completed testing once and the other twice, comparison of scores in each group yielded PEs. PEs were subtracted from each test to yield PE-adjusted scores. Biomarkers included cerebrospinal fluid phosphorylated tau and amyloid beta. Cox proportional models predicted time until first dementia diagnosis using PE-unadjusted and PE-adjusted diagnoses.&lt;/p&gt;&lt;/sec&gt;&lt;sec&gt;&lt;title&gt;Results&lt;/title&gt;&lt;p&gt;Accounting for PEs increased MCI prevalence at follow-up by 9.2% (272 vs. 249 MCI), and reduced reversion to normal by 28.8% (57 vs. 80 reverters). PEs also increased stability of single-domain MCI by 12.0% (164 vs. 147). Compared to PE-unadjusted diagnoses, use of PE-adjusted follow-up diagnoses led to a twofold increase in hazard ratios for incident dementia. We classified individuals as false reverters if they reverted to cognitively unimpaired status based on PE-unadjusted scores, but remained classified as MCI cases after accounting for PEs. When amyloid and tau positivity were examined together, 72.2% of these false reverters were positive for at least one biomarker.&lt;/p&gt;&lt;/sec&gt;&lt;sec&gt;&lt;title&gt;Interpretation&lt;/title&gt;&lt;p&gt;Even when PEs are small, they can meaningfully change whether some individuals with MCI retain the diagnosis at a 1-year follow-up. Accounting for PEs resulted in increased MCI prevalence and altered stability/reversion rates. This improved diagnostic accuracy also increased the dementia-predicting ability of MCI diagnoses.&lt;/p&gt;&lt;/sec&gt;","container-title":"Frontiers in Aging Neuroscience","DOI":"10.3389/fnagi.2022.847315","ISSN":"1663-4365","journalAbbreviation":"Front. Aging Neurosci.","language":"English","note":"publisher: Frontiers","source":"Frontiers","title":"Practice Effects in Mild Cognitive Impairment Increase Reversion Rates and Delay Detection of New Impairments","URL":"https://www.frontiersin.org/journals/aging-neuroscience/articles/10.3389/fnagi.2022.847315/full","volume":"14","author":[{"family":"Sanderson-Cimino","given":"Mark"},{"family":"Elman","given":"Jeremy A."},{"family":"Tu","given":"Xin M."},{"family":"Gross","given":"Alden L."},{"family":"Panizzon","given":"Matthew S."},{"family":"Gustavson","given":"Daniel E."},{"family":"Bondi","given":"Mark W."},{"family":"Edmonds","given":"Emily C."},{"family":"Eppig","given":"Joel S."},{"family":"Franz","given":"Carol E."},{"family":"Jak","given":"Amy J."},{"family":"Lyons","given":"Michael J."},{"family":"Thomas","given":"Kelsey R."},{"family":"Williams","given":"McKenna E."},{"family":"Kremen","given":"William S."}],"accessed":{"date-parts":[["2024",11,23]]},"issued":{"date-parts":[["2022",4,25]]}}}],"schema":"https://github.com/citation-style-language/schema/raw/master/csl-citation.json"} </w:instrText>
      </w:r>
      <w:r w:rsidRPr="00DD3983" w:rsidR="0079012D">
        <w:rPr>
          <w:rFonts w:ascii="Arial" w:hAnsi="Arial" w:cs="Arial"/>
          <w:sz w:val="22"/>
          <w:szCs w:val="22"/>
        </w:rPr>
        <w:fldChar w:fldCharType="separate"/>
      </w:r>
      <w:r w:rsidRPr="00025355" w:rsidR="00025355">
        <w:rPr>
          <w:rFonts w:ascii="Arial" w:hAnsi="Arial" w:cs="Arial"/>
          <w:sz w:val="22"/>
          <w:vertAlign w:val="superscript"/>
        </w:rPr>
        <w:t>64,65</w:t>
      </w:r>
      <w:r w:rsidRPr="00DD3983" w:rsidR="0079012D">
        <w:rPr>
          <w:rFonts w:ascii="Arial" w:hAnsi="Arial" w:cs="Arial"/>
          <w:sz w:val="22"/>
          <w:szCs w:val="22"/>
        </w:rPr>
        <w:fldChar w:fldCharType="end"/>
      </w:r>
    </w:p>
    <w:p w:rsidRPr="00DD3983" w:rsidR="00A701AA" w:rsidP="00A701AA" w:rsidRDefault="00A701AA" w14:paraId="3B81A662" w14:textId="77777777">
      <w:pPr>
        <w:pStyle w:val="NormalWeb"/>
        <w:spacing w:before="0" w:beforeAutospacing="0" w:after="0" w:afterAutospacing="0"/>
        <w:jc w:val="both"/>
        <w:rPr>
          <w:rFonts w:ascii="Arial" w:hAnsi="Arial" w:cs="Arial"/>
          <w:sz w:val="22"/>
          <w:szCs w:val="22"/>
        </w:rPr>
      </w:pPr>
    </w:p>
    <w:p w:rsidRPr="00595CC0" w:rsidR="002325F2" w:rsidP="00E36266" w:rsidRDefault="00466AE1" w14:paraId="5460A904" w14:textId="564AEB65">
      <w:pPr>
        <w:pStyle w:val="Heading3"/>
        <w:spacing w:before="0" w:after="0"/>
        <w:rPr>
          <w:rFonts w:cs="Arial"/>
          <w:iCs/>
          <w:sz w:val="22"/>
          <w:szCs w:val="22"/>
        </w:rPr>
      </w:pPr>
      <w:bookmarkStart w:name="_Toc183482297" w:id="2"/>
      <w:r w:rsidRPr="00595CC0">
        <w:rPr>
          <w:iCs/>
        </w:rPr>
        <w:t>Barriers</w:t>
      </w:r>
      <w:r w:rsidRPr="00595CC0" w:rsidR="002325F2">
        <w:rPr>
          <w:rFonts w:cs="Arial"/>
          <w:iCs/>
          <w:sz w:val="22"/>
          <w:szCs w:val="22"/>
        </w:rPr>
        <w:t xml:space="preserve"> </w:t>
      </w:r>
      <w:r w:rsidRPr="00595CC0" w:rsidR="00EC679A">
        <w:rPr>
          <w:rFonts w:cs="Arial"/>
          <w:iCs/>
          <w:sz w:val="22"/>
          <w:szCs w:val="22"/>
        </w:rPr>
        <w:t>Related to</w:t>
      </w:r>
      <w:r w:rsidRPr="00595CC0" w:rsidR="002325F2">
        <w:rPr>
          <w:rFonts w:cs="Arial"/>
          <w:iCs/>
          <w:sz w:val="22"/>
          <w:szCs w:val="22"/>
        </w:rPr>
        <w:t xml:space="preserve"> </w:t>
      </w:r>
      <w:r w:rsidRPr="00595CC0" w:rsidR="00EC679A">
        <w:rPr>
          <w:rFonts w:cs="Arial"/>
          <w:iCs/>
          <w:sz w:val="22"/>
          <w:szCs w:val="22"/>
        </w:rPr>
        <w:t>Cognitive Test</w:t>
      </w:r>
      <w:r w:rsidRPr="00595CC0" w:rsidR="002325F2">
        <w:rPr>
          <w:rFonts w:cs="Arial"/>
          <w:iCs/>
          <w:sz w:val="22"/>
          <w:szCs w:val="22"/>
        </w:rPr>
        <w:t xml:space="preserve"> Administration</w:t>
      </w:r>
      <w:bookmarkEnd w:id="2"/>
    </w:p>
    <w:p w:rsidRPr="00DD3983" w:rsidR="002325F2" w:rsidP="00E36266" w:rsidRDefault="0079012D" w14:paraId="1F2651C7" w14:textId="592E6B85">
      <w:pPr>
        <w:pStyle w:val="NormalWeb"/>
        <w:spacing w:before="0" w:beforeAutospacing="0" w:after="0" w:afterAutospacing="0"/>
        <w:jc w:val="both"/>
        <w:rPr>
          <w:rFonts w:ascii="Arial" w:hAnsi="Arial" w:cs="Arial"/>
          <w:sz w:val="22"/>
          <w:szCs w:val="22"/>
        </w:rPr>
      </w:pPr>
      <w:r w:rsidRPr="00DD3983">
        <w:rPr>
          <w:rFonts w:ascii="Arial" w:hAnsi="Arial" w:cs="Arial"/>
          <w:sz w:val="22"/>
          <w:szCs w:val="22"/>
        </w:rPr>
        <w:t>Lastly</w:t>
      </w:r>
      <w:r w:rsidR="00860171">
        <w:rPr>
          <w:rFonts w:ascii="Arial" w:hAnsi="Arial" w:cs="Arial"/>
          <w:sz w:val="22"/>
          <w:szCs w:val="22"/>
        </w:rPr>
        <w:t>,</w:t>
      </w:r>
      <w:r w:rsidR="00975D43">
        <w:rPr>
          <w:rFonts w:ascii="Arial" w:hAnsi="Arial" w:cs="Arial"/>
          <w:sz w:val="22"/>
          <w:szCs w:val="22"/>
        </w:rPr>
        <w:t xml:space="preserve"> 9</w:t>
      </w:r>
      <w:r w:rsidR="00113E39">
        <w:rPr>
          <w:rFonts w:ascii="Arial" w:hAnsi="Arial" w:cs="Arial"/>
          <w:sz w:val="22"/>
          <w:szCs w:val="22"/>
        </w:rPr>
        <w:t xml:space="preserve"> of the</w:t>
      </w:r>
      <w:r w:rsidR="00975D43">
        <w:rPr>
          <w:rFonts w:ascii="Arial" w:hAnsi="Arial" w:cs="Arial"/>
          <w:sz w:val="22"/>
          <w:szCs w:val="22"/>
        </w:rPr>
        <w:t xml:space="preserve"> papers</w:t>
      </w:r>
      <w:r w:rsidR="00BC6D4B">
        <w:rPr>
          <w:rFonts w:ascii="Arial" w:hAnsi="Arial" w:cs="Arial"/>
          <w:sz w:val="22"/>
          <w:szCs w:val="22"/>
        </w:rPr>
        <w:t xml:space="preserve"> </w:t>
      </w:r>
      <w:r w:rsidR="00860171">
        <w:rPr>
          <w:rFonts w:ascii="Arial" w:hAnsi="Arial" w:cs="Arial"/>
          <w:sz w:val="22"/>
          <w:szCs w:val="22"/>
        </w:rPr>
        <w:t>made mention</w:t>
      </w:r>
      <w:r w:rsidR="00BC6D4B">
        <w:rPr>
          <w:rFonts w:ascii="Arial" w:hAnsi="Arial" w:cs="Arial"/>
          <w:sz w:val="22"/>
          <w:szCs w:val="22"/>
        </w:rPr>
        <w:t xml:space="preserve"> </w:t>
      </w:r>
      <w:r w:rsidR="00B8513A">
        <w:rPr>
          <w:rFonts w:ascii="Arial" w:hAnsi="Arial" w:cs="Arial"/>
          <w:sz w:val="22"/>
          <w:szCs w:val="22"/>
        </w:rPr>
        <w:t>of</w:t>
      </w:r>
      <w:r w:rsidR="00BC6D4B">
        <w:rPr>
          <w:rFonts w:ascii="Arial" w:hAnsi="Arial" w:cs="Arial"/>
          <w:sz w:val="22"/>
          <w:szCs w:val="22"/>
        </w:rPr>
        <w:t xml:space="preserve"> </w:t>
      </w:r>
      <w:r w:rsidR="00860171">
        <w:rPr>
          <w:rFonts w:ascii="Arial" w:hAnsi="Arial" w:cs="Arial"/>
          <w:sz w:val="22"/>
          <w:szCs w:val="22"/>
        </w:rPr>
        <w:t xml:space="preserve">cost and </w:t>
      </w:r>
      <w:r w:rsidR="00BC6D4B">
        <w:rPr>
          <w:rFonts w:ascii="Arial" w:hAnsi="Arial" w:cs="Arial"/>
          <w:sz w:val="22"/>
          <w:szCs w:val="22"/>
        </w:rPr>
        <w:t>practical accessibility</w:t>
      </w:r>
      <w:r w:rsidR="00113E39">
        <w:rPr>
          <w:rFonts w:ascii="Arial" w:hAnsi="Arial" w:cs="Arial"/>
          <w:sz w:val="22"/>
          <w:szCs w:val="22"/>
        </w:rPr>
        <w:t xml:space="preserve"> concerns.</w:t>
      </w:r>
      <w:r w:rsidRPr="00DD3983">
        <w:rPr>
          <w:rFonts w:ascii="Arial" w:hAnsi="Arial" w:cs="Arial"/>
          <w:sz w:val="22"/>
          <w:szCs w:val="22"/>
        </w:rPr>
        <w:t xml:space="preserve"> </w:t>
      </w:r>
      <w:r w:rsidR="00113E39">
        <w:rPr>
          <w:rFonts w:ascii="Arial" w:hAnsi="Arial" w:cs="Arial"/>
          <w:sz w:val="22"/>
          <w:szCs w:val="22"/>
        </w:rPr>
        <w:t>M</w:t>
      </w:r>
      <w:r w:rsidRPr="00DD3983" w:rsidR="002325F2">
        <w:rPr>
          <w:rFonts w:ascii="Arial" w:hAnsi="Arial" w:cs="Arial"/>
          <w:sz w:val="22"/>
          <w:szCs w:val="22"/>
        </w:rPr>
        <w:t xml:space="preserve">ost cognitive assessments also provide </w:t>
      </w:r>
      <w:r w:rsidRPr="00DD3983" w:rsidR="00943A0C">
        <w:rPr>
          <w:rFonts w:ascii="Arial" w:hAnsi="Arial" w:cs="Arial"/>
          <w:sz w:val="22"/>
          <w:szCs w:val="22"/>
        </w:rPr>
        <w:t>practical</w:t>
      </w:r>
      <w:r w:rsidRPr="00DD3983" w:rsidR="002325F2">
        <w:rPr>
          <w:rFonts w:ascii="Arial" w:hAnsi="Arial" w:cs="Arial"/>
          <w:sz w:val="22"/>
          <w:szCs w:val="22"/>
        </w:rPr>
        <w:t xml:space="preserve"> constraints such as the requirement of trained personnel or practitioners to administer the assessment</w:t>
      </w:r>
      <w:r w:rsidR="00C01756">
        <w:rPr>
          <w:rFonts w:ascii="Arial" w:hAnsi="Arial" w:cs="Arial"/>
          <w:sz w:val="22"/>
          <w:szCs w:val="22"/>
        </w:rPr>
        <w:t>.</w:t>
      </w:r>
      <w:r w:rsidRPr="00DD3983" w:rsidR="002325F2">
        <w:rPr>
          <w:rFonts w:ascii="Arial" w:hAnsi="Arial" w:cs="Arial"/>
          <w:sz w:val="22"/>
          <w:szCs w:val="22"/>
        </w:rPr>
        <w:fldChar w:fldCharType="begin"/>
      </w:r>
      <w:r w:rsidR="00025355">
        <w:rPr>
          <w:rFonts w:ascii="Arial" w:hAnsi="Arial" w:cs="Arial"/>
          <w:sz w:val="22"/>
          <w:szCs w:val="22"/>
        </w:rPr>
        <w:instrText xml:space="preserve"> ADDIN ZOTERO_ITEM CSL_CITATION {"citationID":"aBLq0wX5","properties":{"formattedCitation":"\\super 66\\nosupersub{}","plainCitation":"66","noteIndex":0},"citationItems":[{"id":1587,"uris":["http://zotero.org/users/10927406/items/4JY7LLEJ"],"itemData":{"id":1587,"type":"article-journal","abstract":"Background:Self or home-administered cognitive screening instruments (CSIs) can reduce barriers to the early detection of mild cognitive impairment (MCI) and dementia.Objective:To examine the acceptability and diagnostic accuracy of a caregiver-administered CSI, the Quick Memory Check (QMC).Methods:Components of the Quick Mild Cognitive impairment (Qmci) screen (orientation, verbal fluency, and logical memory) were re-weighted to create the QMC, scored out of 100 points. Participants, attending a university hospital memory clinic, were provided administration instructions beforehand. Area under the curve (AUC) scores, adjusted for age and education, were compared with the Qmci screen and Montreal Cognitive Assessment (MoCA). Caregivers or family scored the QMC.Results:In all, 366 participants were recruited; 53 with subjective memory complaints (SMC), 74 with MCI, 193 with dementia, and 46 normal controls. Median QMC scores for controls were 70±13 versus 60±20 for SMC, 52±18 for MCI, and 31±21 for dementia. The QMC had excellent accuracy (AUC 0.97) for cognitive impairment (MCI/dementia from controls), similar to the Qmci screen (AUC 0.98, p = 0.17) and MoCA (AUC 0.95, p = 0.13). At a cut-off of &lt;52/100, the QMC had 83% sensitivity and 100% specificity for cognitive impairment. The QMC had lower accuracy differentiating MCI from SMC (AUC 0.73), albeit similar to the MoCA (AUC 0.70).Conclusion:The QMC, administered by caregivers in advance of clinic, compared favorably to established CSIs scored by trained raters. This caregiver, home-administered CSI is acceptable and can identify cognitive impairment, potentially improving efficiency by reducing testing time and patient stress in busy clinical settings.","container-title":"Journal of Alzheimer’s Disease","DOI":"10.3233/JAD-220339","ISSN":"1387-2877","issue":"4","language":"en","note":"publisher: SAGE Publications","page":"1417-1427","source":"SAGE Journals","title":"Screening for Cognitive Impairment with the Quick Memory Check: Validation of a Caregiver Administered Cognitive Screen","title-short":"Screening for Cognitive Impairment with the Quick Memory Check","volume":"90","author":[{"family":"O’Caoimh","given":"Rónán"},{"family":"Coghlan","given":"Patrick"},{"family":"O’Donovan","given":"Mark R"},{"family":"Mohd Zaki","given":"Nurzakiah"},{"family":"Daly","given":"Brian"},{"family":"Gao","given":"Yang"},{"family":"Molloy","given":"D. William"},{"family":"Franks","given":"Katherine"}],"issued":{"date-parts":[["2022",1,1]]}}}],"schema":"https://github.com/citation-style-language/schema/raw/master/csl-citation.json"} </w:instrText>
      </w:r>
      <w:r w:rsidRPr="00DD3983" w:rsidR="002325F2">
        <w:rPr>
          <w:rFonts w:ascii="Arial" w:hAnsi="Arial" w:cs="Arial"/>
          <w:sz w:val="22"/>
          <w:szCs w:val="22"/>
        </w:rPr>
        <w:fldChar w:fldCharType="separate"/>
      </w:r>
      <w:r w:rsidRPr="00025355" w:rsidR="00025355">
        <w:rPr>
          <w:rFonts w:ascii="Arial" w:hAnsi="Arial" w:cs="Arial"/>
          <w:sz w:val="22"/>
          <w:vertAlign w:val="superscript"/>
        </w:rPr>
        <w:t>66</w:t>
      </w:r>
      <w:r w:rsidRPr="00DD3983" w:rsidR="002325F2">
        <w:rPr>
          <w:rFonts w:ascii="Arial" w:hAnsi="Arial" w:cs="Arial"/>
          <w:sz w:val="22"/>
          <w:szCs w:val="22"/>
        </w:rPr>
        <w:fldChar w:fldCharType="end"/>
      </w:r>
      <w:r w:rsidRPr="00DD3983" w:rsidR="002325F2">
        <w:rPr>
          <w:rFonts w:ascii="Arial" w:hAnsi="Arial" w:cs="Arial"/>
          <w:sz w:val="22"/>
          <w:szCs w:val="22"/>
        </w:rPr>
        <w:t xml:space="preserve"> This can pose specific barriers to clinics who chose to implement the use of cognitive screening assessments. Additionally, commonly used assessments such as the MMSE and recently the MoCA have been seen to transition from free tools to having </w:t>
      </w:r>
      <w:r w:rsidRPr="00DD3983" w:rsidR="00B023B9">
        <w:rPr>
          <w:rFonts w:ascii="Arial" w:hAnsi="Arial" w:cs="Arial"/>
          <w:sz w:val="22"/>
          <w:szCs w:val="22"/>
        </w:rPr>
        <w:t>mandatory</w:t>
      </w:r>
      <w:r w:rsidRPr="00DD3983" w:rsidR="002325F2">
        <w:rPr>
          <w:rFonts w:ascii="Arial" w:hAnsi="Arial" w:cs="Arial"/>
          <w:sz w:val="22"/>
          <w:szCs w:val="22"/>
        </w:rPr>
        <w:t xml:space="preserve"> fees for access and training, deemed as a ‘free to fee’ payment model that</w:t>
      </w:r>
      <w:r w:rsidRPr="00DD3983" w:rsidR="00576FD0">
        <w:rPr>
          <w:rFonts w:ascii="Arial" w:hAnsi="Arial" w:cs="Arial"/>
          <w:sz w:val="22"/>
          <w:szCs w:val="22"/>
        </w:rPr>
        <w:t xml:space="preserve"> poses financial barriers to </w:t>
      </w:r>
      <w:r w:rsidRPr="00DD3983" w:rsidR="00A70816">
        <w:rPr>
          <w:rFonts w:ascii="Arial" w:hAnsi="Arial" w:cs="Arial"/>
          <w:sz w:val="22"/>
          <w:szCs w:val="22"/>
        </w:rPr>
        <w:t>both their implementation for clinics and sustained use</w:t>
      </w:r>
      <w:r w:rsidR="00C01756">
        <w:rPr>
          <w:rFonts w:ascii="Arial" w:hAnsi="Arial" w:cs="Arial"/>
          <w:sz w:val="22"/>
          <w:szCs w:val="22"/>
        </w:rPr>
        <w:t>.</w:t>
      </w:r>
      <w:r w:rsidRPr="00DD3983" w:rsidR="002325F2">
        <w:rPr>
          <w:rFonts w:ascii="Arial" w:hAnsi="Arial" w:cs="Arial"/>
          <w:sz w:val="22"/>
          <w:szCs w:val="22"/>
        </w:rPr>
        <w:fldChar w:fldCharType="begin"/>
      </w:r>
      <w:r w:rsidR="00025355">
        <w:rPr>
          <w:rFonts w:ascii="Arial" w:hAnsi="Arial" w:cs="Arial"/>
          <w:sz w:val="22"/>
          <w:szCs w:val="22"/>
        </w:rPr>
        <w:instrText xml:space="preserve"> ADDIN ZOTERO_ITEM CSL_CITATION {"citationID":"3LBSPFYB","properties":{"formattedCitation":"\\super 59\\nosupersub{}","plainCitation":"59","noteIndex":0},"citationItems":[{"id":1562,"uris":["http://zotero.org/users/10927406/items/8UHCCD88"],"itemData":{"id":1562,"type":"article-journal","abstract":"Every year, millions of patients worldwide undergo cognitive testing. Unfortunately, new barriers to the use of free open access cognitive screening tools have arisen over time, making accessibility of tools unstable. This article is in follow-up to an editorial discussing alternative cognitive screening tools for those who cannot afford the costs of the Mini-Mental State Examination and Montreal Cognitive Assessment (see www.dementiascreen.ca). The current article outlines an emerging disruptive “free-to-fee” cycle where free open access cognitive screening tools are integrated into clinical practice and guidelines, where fees are then levied for the use of the tools, resulting in clinicians moving on to other tools. This article provides recommendations on means to break this cycle, including the development of tool kits of valid cognitive screening tools that authors have contracted not to charge for (i.e., have agreed to keep free open access). The PRACTICAL.1 Criteria (PRACTIcing Clinician Accessibility and Logistical Criteria Version 1) are introduced to help clinicians select from validated cognitive screening tools, considering barriers and facilitators, such as whether the cognitive screening tools are easy to score and free of cost. It is suggested that future systematic reviews embed the PRACTICAL.1 criteria, or refined future versions, as part of the standard of review. Methodological issues, the need for open access training to insure proper use of cognitive screening tools, and the need to anticipate growing ethnolinguistic diversity by developing tools that are less sensitive to educational, cultural, and linguistic bias are discussed in this opinion piece. J Am Geriatr Soc 68:2207–2213, 2020.","container-title":"Journal of the American Geriatrics Society","DOI":"10.1111/jgs.16713","ISSN":"1532-5415","issue":"10","language":"en","license":"© 2020 The American Geriatrics Society","note":"_eprint: https://onlinelibrary.wiley.com/doi/pdf/10.1111/jgs.16713","page":"2207-2213","source":"Wiley Online Library","title":"One Size Does Not Fit All: Choosing Practical Cognitive Screening Tools for Your Practice","title-short":"One Size Does Not Fit All","volume":"68","author":[{"family":"Molnar","given":"Frank J."},{"family":"Benjamin","given":"Sophiya"},{"family":"Hawkins","given":"Stacey A."},{"family":"Briscoe","given":"Melanie"},{"family":"Ehsan","given":"Sabeen"}],"issued":{"date-parts":[["2020"]]}}}],"schema":"https://github.com/citation-style-language/schema/raw/master/csl-citation.json"} </w:instrText>
      </w:r>
      <w:r w:rsidRPr="00DD3983" w:rsidR="002325F2">
        <w:rPr>
          <w:rFonts w:ascii="Arial" w:hAnsi="Arial" w:cs="Arial"/>
          <w:sz w:val="22"/>
          <w:szCs w:val="22"/>
        </w:rPr>
        <w:fldChar w:fldCharType="separate"/>
      </w:r>
      <w:r w:rsidRPr="00025355" w:rsidR="00025355">
        <w:rPr>
          <w:rFonts w:ascii="Arial" w:hAnsi="Arial" w:cs="Arial"/>
          <w:sz w:val="22"/>
          <w:vertAlign w:val="superscript"/>
        </w:rPr>
        <w:t>59</w:t>
      </w:r>
      <w:r w:rsidRPr="00DD3983" w:rsidR="002325F2">
        <w:rPr>
          <w:rFonts w:ascii="Arial" w:hAnsi="Arial" w:cs="Arial"/>
          <w:sz w:val="22"/>
          <w:szCs w:val="22"/>
        </w:rPr>
        <w:fldChar w:fldCharType="end"/>
      </w:r>
    </w:p>
    <w:p w:rsidR="0079012D" w:rsidP="00680402" w:rsidRDefault="002325F2" w14:paraId="3FA1402C" w14:textId="408FFCD0">
      <w:pPr>
        <w:pStyle w:val="NormalWeb"/>
        <w:jc w:val="both"/>
        <w:rPr>
          <w:rFonts w:ascii="Arial" w:hAnsi="Arial" w:cs="Arial"/>
          <w:sz w:val="22"/>
          <w:szCs w:val="22"/>
        </w:rPr>
      </w:pPr>
      <w:r w:rsidRPr="00DD3983">
        <w:rPr>
          <w:rFonts w:ascii="Arial" w:hAnsi="Arial" w:cs="Arial"/>
          <w:sz w:val="22"/>
          <w:szCs w:val="22"/>
        </w:rPr>
        <w:t>Other practical limitations include a lack of standardized testing instructions for tests like MMSE, meaning there can be a variation of scores even within the same cognitive test, further decreasing its widespread efficacy</w:t>
      </w:r>
      <w:r w:rsidR="00B8513A">
        <w:rPr>
          <w:rFonts w:ascii="Arial" w:hAnsi="Arial" w:cs="Arial"/>
          <w:sz w:val="22"/>
          <w:szCs w:val="22"/>
        </w:rPr>
        <w:t>.</w:t>
      </w:r>
      <w:r w:rsidRPr="00DD3983">
        <w:rPr>
          <w:rFonts w:ascii="Arial" w:hAnsi="Arial" w:cs="Arial"/>
          <w:sz w:val="22"/>
          <w:szCs w:val="22"/>
        </w:rPr>
        <w:fldChar w:fldCharType="begin"/>
      </w:r>
      <w:r w:rsidR="00025355">
        <w:rPr>
          <w:rFonts w:ascii="Arial" w:hAnsi="Arial" w:cs="Arial"/>
          <w:sz w:val="22"/>
          <w:szCs w:val="22"/>
        </w:rPr>
        <w:instrText xml:space="preserve"> ADDIN ZOTERO_ITEM CSL_CITATION {"citationID":"eOmzwrCh","properties":{"formattedCitation":"\\super 60\\nosupersub{}","plainCitation":"60","noteIndex":0},"citationItems":[{"id":1577,"uris":["http://zotero.org/users/10927406/items/C4HL3PG5"],"itemData":{"id":1577,"type":"article-journal","abstract":"We assessed the diagnostic accuracy of the German version of the Addenbrooke’s Cognitive Examination (ACE) in identifying early Alzheimer’s disease (AD) and mild vascular dementia (VaD) in comparison with the conventional Mini-Mental State Examination (MMSE). The study refers to 50 patients with mild dementia of AD, 26 patients with mild dementia of vascular etiology and to 54 cognitively normal subjects. The ACE and MMSE were validated against an expert diagnosis based on a comprehensive diagnostic workup. Statistical analysis was performed using the receiver operator characteristics method. The optimal cut-off score for the ACE for detecting dementia in patients with early AD was 85/86, which had a sensitivity of 93% and a specificity of 86%. The optimal cut-off for the ACE for the identification of dementia in patients with mild VaD was also 85/86 and it had a sensitivity of 93% and a specificity of 100%. The ĸ values imply a substantial agreement between the diagnoses made by the ACE and the MMSE. The German version of the ACE is a short and practical but accurate test battery for the identification of AD and VaD, assessing a broad range of cognitive functions and providing a wide profile of cognitive functions/dysfunctions.","container-title":"Dementia and Geriatric Cognitive Disorders","DOI":"10.1159/000095642","ISSN":"1420-8008","issue":"5-6","journalAbbreviation":"Dementia and Geriatric Cognitive Disorders","page":"385-391","source":"Silverchair","title":"Validation of the Addenbrooke’s Cognitive Examination for Detecting Early Alzheimer’s Disease and Mild Vascular Dementia in a German Population","volume":"22","author":[{"family":"Alexopoulos","given":"P."},{"family":"Greim","given":"B."},{"family":"Nadler","given":"K."},{"family":"Martens","given":"U."},{"family":"Krecklow","given":"B."},{"family":"Domes","given":"G."},{"family":"Herpertz","given":"S."},{"family":"Kurz","given":"A."}],"issued":{"date-parts":[["2006",11,3]]}}}],"schema":"https://github.com/citation-style-language/schema/raw/master/csl-citation.json"} </w:instrText>
      </w:r>
      <w:r w:rsidRPr="00DD3983">
        <w:rPr>
          <w:rFonts w:ascii="Arial" w:hAnsi="Arial" w:cs="Arial"/>
          <w:sz w:val="22"/>
          <w:szCs w:val="22"/>
        </w:rPr>
        <w:fldChar w:fldCharType="separate"/>
      </w:r>
      <w:r w:rsidRPr="00025355" w:rsidR="00025355">
        <w:rPr>
          <w:rFonts w:ascii="Arial" w:hAnsi="Arial" w:cs="Arial"/>
          <w:sz w:val="22"/>
          <w:vertAlign w:val="superscript"/>
        </w:rPr>
        <w:t>60</w:t>
      </w:r>
      <w:r w:rsidRPr="00DD3983">
        <w:rPr>
          <w:rFonts w:ascii="Arial" w:hAnsi="Arial" w:cs="Arial"/>
          <w:sz w:val="22"/>
          <w:szCs w:val="22"/>
        </w:rPr>
        <w:fldChar w:fldCharType="end"/>
      </w:r>
      <w:r w:rsidRPr="00DD3983">
        <w:rPr>
          <w:rFonts w:ascii="Arial" w:hAnsi="Arial" w:cs="Arial"/>
          <w:sz w:val="22"/>
          <w:szCs w:val="22"/>
        </w:rPr>
        <w:t xml:space="preserve"> Along with variations from clinician to clinician, there are also concerns over the testing environment altering the validity of cognitive assessments. Depending on where a cognitive assessment is administered (e.g. long term care, primary care, or hospital settings) may have impacts on what tests are available, and can also impact the reliability of the scored obtained</w:t>
      </w:r>
      <w:r w:rsidR="00C01756">
        <w:rPr>
          <w:rFonts w:ascii="Arial" w:hAnsi="Arial" w:cs="Arial"/>
          <w:sz w:val="22"/>
          <w:szCs w:val="22"/>
        </w:rPr>
        <w:t>.</w:t>
      </w:r>
      <w:r w:rsidRPr="00DD3983">
        <w:rPr>
          <w:rFonts w:ascii="Arial" w:hAnsi="Arial" w:cs="Arial"/>
          <w:sz w:val="22"/>
          <w:szCs w:val="22"/>
        </w:rPr>
        <w:fldChar w:fldCharType="begin"/>
      </w:r>
      <w:r w:rsidR="00025355">
        <w:rPr>
          <w:rFonts w:ascii="Arial" w:hAnsi="Arial" w:cs="Arial"/>
          <w:sz w:val="22"/>
          <w:szCs w:val="22"/>
        </w:rPr>
        <w:instrText xml:space="preserve"> ADDIN ZOTERO_ITEM CSL_CITATION {"citationID":"sshu2ylx","properties":{"formattedCitation":"\\super 59\\nosupersub{}","plainCitation":"59","noteIndex":0},"citationItems":[{"id":1562,"uris":["http://zotero.org/users/10927406/items/8UHCCD88"],"itemData":{"id":1562,"type":"article-journal","abstract":"Every year, millions of patients worldwide undergo cognitive testing. Unfortunately, new barriers to the use of free open access cognitive screening tools have arisen over time, making accessibility of tools unstable. This article is in follow-up to an editorial discussing alternative cognitive screening tools for those who cannot afford the costs of the Mini-Mental State Examination and Montreal Cognitive Assessment (see www.dementiascreen.ca). The current article outlines an emerging disruptive “free-to-fee” cycle where free open access cognitive screening tools are integrated into clinical practice and guidelines, where fees are then levied for the use of the tools, resulting in clinicians moving on to other tools. This article provides recommendations on means to break this cycle, including the development of tool kits of valid cognitive screening tools that authors have contracted not to charge for (i.e., have agreed to keep free open access). The PRACTICAL.1 Criteria (PRACTIcing Clinician Accessibility and Logistical Criteria Version 1) are introduced to help clinicians select from validated cognitive screening tools, considering barriers and facilitators, such as whether the cognitive screening tools are easy to score and free of cost. It is suggested that future systematic reviews embed the PRACTICAL.1 criteria, or refined future versions, as part of the standard of review. Methodological issues, the need for open access training to insure proper use of cognitive screening tools, and the need to anticipate growing ethnolinguistic diversity by developing tools that are less sensitive to educational, cultural, and linguistic bias are discussed in this opinion piece. J Am Geriatr Soc 68:2207–2213, 2020.","container-title":"Journal of the American Geriatrics Society","DOI":"10.1111/jgs.16713","ISSN":"1532-5415","issue":"10","language":"en","license":"© 2020 The American Geriatrics Society","note":"_eprint: https://onlinelibrary.wiley.com/doi/pdf/10.1111/jgs.16713","page":"2207-2213","source":"Wiley Online Library","title":"One Size Does Not Fit All: Choosing Practical Cognitive Screening Tools for Your Practice","title-short":"One Size Does Not Fit All","volume":"68","author":[{"family":"Molnar","given":"Frank J."},{"family":"Benjamin","given":"Sophiya"},{"family":"Hawkins","given":"Stacey A."},{"family":"Briscoe","given":"Melanie"},{"family":"Ehsan","given":"Sabeen"}],"issued":{"date-parts":[["2020"]]}}}],"schema":"https://github.com/citation-style-language/schema/raw/master/csl-citation.json"} </w:instrText>
      </w:r>
      <w:r w:rsidRPr="00DD3983">
        <w:rPr>
          <w:rFonts w:ascii="Arial" w:hAnsi="Arial" w:cs="Arial"/>
          <w:sz w:val="22"/>
          <w:szCs w:val="22"/>
        </w:rPr>
        <w:fldChar w:fldCharType="separate"/>
      </w:r>
      <w:r w:rsidRPr="00025355" w:rsidR="00025355">
        <w:rPr>
          <w:rFonts w:ascii="Arial" w:hAnsi="Arial" w:cs="Arial"/>
          <w:sz w:val="22"/>
          <w:vertAlign w:val="superscript"/>
        </w:rPr>
        <w:t>59</w:t>
      </w:r>
      <w:r w:rsidRPr="00DD3983">
        <w:rPr>
          <w:rFonts w:ascii="Arial" w:hAnsi="Arial" w:cs="Arial"/>
          <w:sz w:val="22"/>
          <w:szCs w:val="22"/>
        </w:rPr>
        <w:fldChar w:fldCharType="end"/>
      </w:r>
      <w:r w:rsidRPr="00DD3983">
        <w:rPr>
          <w:rFonts w:ascii="Arial" w:hAnsi="Arial" w:cs="Arial"/>
          <w:sz w:val="22"/>
          <w:szCs w:val="22"/>
        </w:rPr>
        <w:t xml:space="preserve"> Also with the goal of regular testing, researchers have also identified barriers that revolve around the length of running initial and repeat test, availability of trained staff, the space required to conduct the assessment which may require separation and noise isolation, and the potential need for specialized testing equipment</w:t>
      </w:r>
      <w:r w:rsidR="00C01756">
        <w:rPr>
          <w:rFonts w:ascii="Arial" w:hAnsi="Arial" w:cs="Arial"/>
          <w:sz w:val="22"/>
          <w:szCs w:val="22"/>
        </w:rPr>
        <w:t>.</w:t>
      </w:r>
      <w:r w:rsidRPr="00DD3983">
        <w:rPr>
          <w:rFonts w:ascii="Arial" w:hAnsi="Arial" w:cs="Arial"/>
          <w:sz w:val="22"/>
          <w:szCs w:val="22"/>
        </w:rPr>
        <w:fldChar w:fldCharType="begin"/>
      </w:r>
      <w:r w:rsidR="00025355">
        <w:rPr>
          <w:rFonts w:ascii="Arial" w:hAnsi="Arial" w:cs="Arial"/>
          <w:sz w:val="22"/>
          <w:szCs w:val="22"/>
        </w:rPr>
        <w:instrText xml:space="preserve"> ADDIN ZOTERO_ITEM CSL_CITATION {"citationID":"qAE3Rvxo","properties":{"formattedCitation":"\\super 67\\nosupersub{}","plainCitation":"67","noteIndex":0},"citationItems":[{"id":1539,"uris":["http://zotero.org/users/10927406/items/Z9T3K343"],"itemData":{"id":1539,"type":"article-journal","abstract":"Significant cognitive changes as individuals’ age are not being identified in a timely manner, delaying diagnosis and treatments. Use of brief, multi-domain, self-administered, objective cognitive assessment tools may remove some barriers in assessing and identifying cognitive changes. We compared longitudinal Self-Administered Gerocognitive Examination (SAGE) test scores to non-self-administered Mini-Mental State Examination (MMSE) scores in 5 different diagnostic subgroups.","container-title":"Alzheimer's Research &amp; Therapy","DOI":"10.1186/s13195-021-00930-4","ISSN":"1758-9193","issue":"1","journalAbbreviation":"Alzheimer's Research &amp; Therapy","page":"192","source":"BioMed Central","title":"Self-Administered Gerocognitive Examination: longitudinal cohort testing for the early detection of dementia conversion","title-short":"Self-Administered Gerocognitive Examination","volume":"13","author":[{"family":"Scharre","given":"Douglas W."},{"family":"Chang","given":"Shu","dropping-particle":"ing"},{"family":"Nagaraja","given":"Haikady N."},{"family":"Wheeler","given":"Natalie C."},{"family":"Kataki","given":"Maria"}],"issued":{"date-parts":[["2021",12,6]]}}}],"schema":"https://github.com/citation-style-language/schema/raw/master/csl-citation.json"} </w:instrText>
      </w:r>
      <w:r w:rsidRPr="00DD3983">
        <w:rPr>
          <w:rFonts w:ascii="Arial" w:hAnsi="Arial" w:cs="Arial"/>
          <w:sz w:val="22"/>
          <w:szCs w:val="22"/>
        </w:rPr>
        <w:fldChar w:fldCharType="separate"/>
      </w:r>
      <w:r w:rsidRPr="00025355" w:rsidR="00025355">
        <w:rPr>
          <w:rFonts w:ascii="Arial" w:hAnsi="Arial" w:cs="Arial"/>
          <w:sz w:val="22"/>
          <w:vertAlign w:val="superscript"/>
        </w:rPr>
        <w:t>67</w:t>
      </w:r>
      <w:r w:rsidRPr="00DD3983">
        <w:rPr>
          <w:rFonts w:ascii="Arial" w:hAnsi="Arial" w:cs="Arial"/>
          <w:sz w:val="22"/>
          <w:szCs w:val="22"/>
        </w:rPr>
        <w:fldChar w:fldCharType="end"/>
      </w:r>
      <w:r w:rsidRPr="00DD3983">
        <w:rPr>
          <w:rFonts w:ascii="Arial" w:hAnsi="Arial" w:cs="Arial"/>
          <w:sz w:val="22"/>
          <w:szCs w:val="22"/>
        </w:rPr>
        <w:t xml:space="preserve"> Even potential solutions that use digital or telephone based cognitive assessments struggle as the burden removed of the clinic then compromises the environmental control, decreasing the reliability of scores and introduces</w:t>
      </w:r>
      <w:r w:rsidRPr="00DD3983" w:rsidR="00850F55">
        <w:rPr>
          <w:rFonts w:ascii="Arial" w:hAnsi="Arial" w:cs="Arial"/>
          <w:sz w:val="22"/>
          <w:szCs w:val="22"/>
        </w:rPr>
        <w:t xml:space="preserve"> new</w:t>
      </w:r>
      <w:r w:rsidRPr="00DD3983">
        <w:rPr>
          <w:rFonts w:ascii="Arial" w:hAnsi="Arial" w:cs="Arial"/>
          <w:sz w:val="22"/>
          <w:szCs w:val="22"/>
        </w:rPr>
        <w:t xml:space="preserve"> accessibility </w:t>
      </w:r>
      <w:r w:rsidRPr="00DD3983" w:rsidR="0087019C">
        <w:rPr>
          <w:rFonts w:ascii="Arial" w:hAnsi="Arial" w:cs="Arial"/>
          <w:sz w:val="22"/>
          <w:szCs w:val="22"/>
        </w:rPr>
        <w:t xml:space="preserve">concerns </w:t>
      </w:r>
      <w:r w:rsidRPr="00DD3983">
        <w:rPr>
          <w:rFonts w:ascii="Arial" w:hAnsi="Arial" w:cs="Arial"/>
          <w:sz w:val="22"/>
          <w:szCs w:val="22"/>
        </w:rPr>
        <w:t>for visual or auditory impairments</w:t>
      </w:r>
      <w:r w:rsidR="00C01756">
        <w:rPr>
          <w:rFonts w:ascii="Arial" w:hAnsi="Arial" w:cs="Arial"/>
          <w:sz w:val="22"/>
          <w:szCs w:val="22"/>
        </w:rPr>
        <w:t>.</w:t>
      </w:r>
      <w:r w:rsidRPr="00DD3983">
        <w:rPr>
          <w:rFonts w:ascii="Arial" w:hAnsi="Arial" w:cs="Arial"/>
          <w:sz w:val="22"/>
          <w:szCs w:val="22"/>
        </w:rPr>
        <w:fldChar w:fldCharType="begin"/>
      </w:r>
      <w:r w:rsidR="00025355">
        <w:rPr>
          <w:rFonts w:ascii="Arial" w:hAnsi="Arial" w:cs="Arial"/>
          <w:sz w:val="22"/>
          <w:szCs w:val="22"/>
        </w:rPr>
        <w:instrText xml:space="preserve"> ADDIN ZOTERO_ITEM CSL_CITATION {"citationID":"2fyjeMNo","properties":{"formattedCitation":"\\super 57,67\\nosupersub{}","plainCitation":"57,67","noteIndex":0},"citationItems":[{"id":1551,"uris":["http://zotero.org/users/10927406/items/K5MMZZMF"],"itemData":{"id":1551,"type":"article-journal","abstract":"Background Routine screening of high-risk elderly people for early cognitive impairment is constrained by the limitations of currently available cognitive function tests. The Telephone Interview of Cognitive Status is a novel instrument for assessment of cognitive function that can be administered in person or by telephone. Objective To evaluate the determinants and utility of TICS-M (13-item modified version) for assessment of cognitive function in healthy elderly people. Methods The utility of TICS-M was compared with more widely used MMSE and CAMCOG in a cross-sectional survey of 120 older (62 to 89 years) UK adults. Results The TICS-M cognitive test scores (27.97, SD 4.15) were normally distributed in contrast with those for MMSE and CAMCOG that had a negatively skewed distribution. TICS-M scores were inversely correlated with age (r = −0.21) and with the NART fullscale IQ (r = −0.35), but were independent of years of education in this cohort. TICS-M was highly correlated with MMSE (r = 0.57) and with CAMCOG (r = 0.62) scores. The time required to complete the test is comparable to MMSE and substantially less than CAMCOG. Conclusions The normal distribution of TICS-M test scores suggest that this test is less constrained by the ceiling effect which limits the utility of MMSE and CAMCOG test scores in detecting early cognitive impairment. TICS-M is an appropriate instrument to assess cognitive function in both research and in clinical practice. Copyright © 2003 John Wiley &amp; Sons, Ltd.","container-title":"International Journal of Geriatric Psychiatry","DOI":"10.1002/gps.830","ISSN":"1099-1166","issue":"4","language":"en","note":"_eprint: https://onlinelibrary.wiley.com/doi/pdf/10.1002/gps.830","page":"318-324","source":"Wiley Online Library","title":"Utility of TICS-M for the assessment of cognitive function in older adults","volume":"18","author":[{"family":"Jager","given":"Celeste A.","non-dropping-particle":"de"},{"family":"Budge","given":"Marc M."},{"family":"Clarke","given":"Robert"}],"issued":{"date-parts":[["2003"]]}}},{"id":1539,"uris":["http://zotero.org/users/10927406/items/Z9T3K343"],"itemData":{"id":1539,"type":"article-journal","abstract":"Significant cognitive changes as individuals’ age are not being identified in a timely manner, delaying diagnosis and treatments. Use of brief, multi-domain, self-administered, objective cognitive assessment tools may remove some barriers in assessing and identifying cognitive changes. We compared longitudinal Self-Administered Gerocognitive Examination (SAGE) test scores to non-self-administered Mini-Mental State Examination (MMSE) scores in 5 different diagnostic subgroups.","container-title":"Alzheimer's Research &amp; Therapy","DOI":"10.1186/s13195-021-00930-4","ISSN":"1758-9193","issue":"1","journalAbbreviation":"Alzheimer's Research &amp; Therapy","page":"192","source":"BioMed Central","title":"Self-Administered Gerocognitive Examination: longitudinal cohort testing for the early detection of dementia conversion","title-short":"Self-Administered Gerocognitive Examination","volume":"13","author":[{"family":"Scharre","given":"Douglas W."},{"family":"Chang","given":"Shu","dropping-particle":"ing"},{"family":"Nagaraja","given":"Haikady N."},{"family":"Wheeler","given":"Natalie C."},{"family":"Kataki","given":"Maria"}],"issued":{"date-parts":[["2021",12,6]]}}}],"schema":"https://github.com/citation-style-language/schema/raw/master/csl-citation.json"} </w:instrText>
      </w:r>
      <w:r w:rsidRPr="00DD3983">
        <w:rPr>
          <w:rFonts w:ascii="Arial" w:hAnsi="Arial" w:cs="Arial"/>
          <w:sz w:val="22"/>
          <w:szCs w:val="22"/>
        </w:rPr>
        <w:fldChar w:fldCharType="separate"/>
      </w:r>
      <w:r w:rsidRPr="00025355" w:rsidR="00025355">
        <w:rPr>
          <w:rFonts w:ascii="Arial" w:hAnsi="Arial" w:cs="Arial"/>
          <w:sz w:val="22"/>
          <w:vertAlign w:val="superscript"/>
        </w:rPr>
        <w:t>57,67</w:t>
      </w:r>
      <w:r w:rsidRPr="00DD3983">
        <w:rPr>
          <w:rFonts w:ascii="Arial" w:hAnsi="Arial" w:cs="Arial"/>
          <w:sz w:val="22"/>
          <w:szCs w:val="22"/>
        </w:rPr>
        <w:fldChar w:fldCharType="end"/>
      </w:r>
    </w:p>
    <w:p w:rsidRPr="000F46B7" w:rsidR="00073D4A" w:rsidP="00680402" w:rsidRDefault="000F46B7" w14:paraId="7A609DDC" w14:textId="25668556">
      <w:pPr>
        <w:pStyle w:val="Heading2"/>
        <w:spacing w:before="0" w:line="240" w:lineRule="auto"/>
        <w:rPr>
          <w:rFonts w:cs="Arial"/>
          <w:color w:val="000000"/>
          <w:sz w:val="22"/>
          <w:szCs w:val="22"/>
        </w:rPr>
      </w:pPr>
      <w:r w:rsidRPr="000F46B7">
        <w:t>Public</w:t>
      </w:r>
      <w:r w:rsidR="00A0444A">
        <w:t xml:space="preserve"> </w:t>
      </w:r>
      <w:r w:rsidR="002C368E">
        <w:t>Health</w:t>
      </w:r>
      <w:r w:rsidR="00A0444A">
        <w:t xml:space="preserve"> </w:t>
      </w:r>
      <w:r w:rsidR="004938A4">
        <w:t>and Policy</w:t>
      </w:r>
      <w:r w:rsidR="00680402">
        <w:t xml:space="preserve"> </w:t>
      </w:r>
    </w:p>
    <w:p w:rsidR="00593997" w:rsidP="00680402" w:rsidRDefault="00E53911" w14:paraId="237EFEAD" w14:textId="095C3A19">
      <w:pPr>
        <w:pStyle w:val="NormalWeb"/>
        <w:spacing w:before="0" w:beforeAutospacing="0" w:after="80" w:afterAutospacing="0"/>
        <w:jc w:val="both"/>
        <w:rPr>
          <w:rFonts w:ascii="Arial" w:hAnsi="Arial" w:cs="Arial"/>
          <w:color w:val="000000"/>
          <w:sz w:val="22"/>
          <w:szCs w:val="22"/>
        </w:rPr>
      </w:pPr>
      <w:r w:rsidRPr="00DD3983">
        <w:rPr>
          <w:rFonts w:ascii="Arial" w:hAnsi="Arial" w:cs="Arial"/>
          <w:color w:val="000000"/>
          <w:sz w:val="22"/>
          <w:szCs w:val="22"/>
        </w:rPr>
        <w:t xml:space="preserve">Papers pertaining to the </w:t>
      </w:r>
      <w:r w:rsidRPr="00DD3983" w:rsidR="009D15E5">
        <w:rPr>
          <w:rFonts w:ascii="Arial" w:hAnsi="Arial" w:cs="Arial"/>
          <w:color w:val="000000"/>
          <w:sz w:val="22"/>
          <w:szCs w:val="22"/>
        </w:rPr>
        <w:t xml:space="preserve">discipline </w:t>
      </w:r>
      <w:r w:rsidRPr="00DD3983" w:rsidR="002955A2">
        <w:rPr>
          <w:rFonts w:ascii="Arial" w:hAnsi="Arial" w:cs="Arial"/>
          <w:color w:val="000000"/>
          <w:sz w:val="22"/>
          <w:szCs w:val="22"/>
        </w:rPr>
        <w:t xml:space="preserve">related to </w:t>
      </w:r>
      <w:r w:rsidRPr="00DD3983" w:rsidR="00712470">
        <w:rPr>
          <w:rFonts w:ascii="Arial" w:hAnsi="Arial" w:cs="Arial"/>
          <w:color w:val="000000"/>
          <w:sz w:val="22"/>
          <w:szCs w:val="22"/>
        </w:rPr>
        <w:t xml:space="preserve">public health and policy </w:t>
      </w:r>
      <w:r w:rsidRPr="00DD3983" w:rsidR="009D2683">
        <w:rPr>
          <w:rFonts w:ascii="Arial" w:hAnsi="Arial" w:cs="Arial"/>
          <w:color w:val="000000"/>
          <w:sz w:val="22"/>
          <w:szCs w:val="22"/>
        </w:rPr>
        <w:t>covered a wide range of limitations</w:t>
      </w:r>
      <w:r w:rsidRPr="00DD3983" w:rsidR="00763A07">
        <w:rPr>
          <w:rFonts w:ascii="Arial" w:hAnsi="Arial" w:cs="Arial"/>
          <w:color w:val="000000"/>
          <w:sz w:val="22"/>
          <w:szCs w:val="22"/>
        </w:rPr>
        <w:t xml:space="preserve"> and disparities</w:t>
      </w:r>
      <w:r w:rsidRPr="00DD3983" w:rsidR="00CF3441">
        <w:rPr>
          <w:rFonts w:ascii="Arial" w:hAnsi="Arial" w:cs="Arial"/>
          <w:color w:val="000000"/>
          <w:sz w:val="22"/>
          <w:szCs w:val="22"/>
        </w:rPr>
        <w:t xml:space="preserve"> related </w:t>
      </w:r>
      <w:r w:rsidRPr="00DD3983" w:rsidR="00ED2323">
        <w:rPr>
          <w:rFonts w:ascii="Arial" w:hAnsi="Arial" w:cs="Arial"/>
          <w:color w:val="000000"/>
          <w:sz w:val="22"/>
          <w:szCs w:val="22"/>
        </w:rPr>
        <w:t>to patient outcomes, provider access</w:t>
      </w:r>
      <w:r w:rsidRPr="00DD3983" w:rsidR="00593997">
        <w:rPr>
          <w:rFonts w:ascii="Arial" w:hAnsi="Arial" w:cs="Arial"/>
          <w:color w:val="000000"/>
          <w:sz w:val="22"/>
          <w:szCs w:val="22"/>
        </w:rPr>
        <w:t xml:space="preserve">, </w:t>
      </w:r>
      <w:r w:rsidRPr="00DD3983" w:rsidR="00E9015C">
        <w:rPr>
          <w:rFonts w:ascii="Arial" w:hAnsi="Arial" w:cs="Arial"/>
          <w:color w:val="000000"/>
          <w:sz w:val="22"/>
          <w:szCs w:val="22"/>
        </w:rPr>
        <w:t>diagnostic infrastructure and the influence of social determinates on timely and accurate care.</w:t>
      </w:r>
      <w:r w:rsidR="00E9015C">
        <w:rPr>
          <w:rFonts w:ascii="Arial" w:hAnsi="Arial" w:cs="Arial"/>
          <w:color w:val="000000"/>
          <w:sz w:val="22"/>
          <w:szCs w:val="22"/>
        </w:rPr>
        <w:t xml:space="preserve"> </w:t>
      </w:r>
      <w:r w:rsidRPr="00DD3983" w:rsidR="00CB46F9">
        <w:rPr>
          <w:rFonts w:ascii="Arial" w:hAnsi="Arial" w:cs="Arial"/>
          <w:color w:val="000000"/>
          <w:sz w:val="22"/>
          <w:szCs w:val="22"/>
        </w:rPr>
        <w:t>When analyzed</w:t>
      </w:r>
      <w:r w:rsidRPr="00DD3983" w:rsidR="00A36811">
        <w:rPr>
          <w:rFonts w:ascii="Arial" w:hAnsi="Arial" w:cs="Arial"/>
          <w:color w:val="000000"/>
          <w:sz w:val="22"/>
          <w:szCs w:val="22"/>
        </w:rPr>
        <w:t xml:space="preserve">, these articles revealed four primary sources of barriers </w:t>
      </w:r>
      <w:r w:rsidRPr="00DD3983" w:rsidR="00073D4A">
        <w:rPr>
          <w:rFonts w:ascii="Arial" w:hAnsi="Arial" w:cs="Arial"/>
          <w:color w:val="000000"/>
          <w:sz w:val="22"/>
          <w:szCs w:val="22"/>
        </w:rPr>
        <w:t xml:space="preserve">identified </w:t>
      </w:r>
      <w:r w:rsidRPr="00DD3983" w:rsidR="00D66EDB">
        <w:rPr>
          <w:rFonts w:ascii="Arial" w:hAnsi="Arial" w:cs="Arial"/>
          <w:color w:val="000000"/>
          <w:sz w:val="22"/>
          <w:szCs w:val="22"/>
        </w:rPr>
        <w:t>as being:</w:t>
      </w:r>
      <w:r w:rsidRPr="00DD3983" w:rsidR="00073D4A">
        <w:rPr>
          <w:rFonts w:ascii="Arial" w:hAnsi="Arial" w:cs="Arial"/>
          <w:color w:val="000000"/>
          <w:sz w:val="22"/>
          <w:szCs w:val="22"/>
        </w:rPr>
        <w:t xml:space="preserve"> geographic and economic disparities, healthcare system and provider factors, </w:t>
      </w:r>
      <w:r w:rsidRPr="00DD3983" w:rsidR="00D66EDB">
        <w:rPr>
          <w:rFonts w:ascii="Arial" w:hAnsi="Arial" w:cs="Arial"/>
          <w:color w:val="000000"/>
          <w:sz w:val="22"/>
          <w:szCs w:val="22"/>
        </w:rPr>
        <w:t>and</w:t>
      </w:r>
      <w:r w:rsidRPr="00DD3983" w:rsidR="00073D4A">
        <w:rPr>
          <w:rFonts w:ascii="Arial" w:hAnsi="Arial" w:cs="Arial"/>
          <w:color w:val="000000"/>
          <w:sz w:val="22"/>
          <w:szCs w:val="22"/>
        </w:rPr>
        <w:t xml:space="preserve"> cultural and social influences</w:t>
      </w:r>
      <w:r w:rsidRPr="00DD3983" w:rsidR="00183A52">
        <w:rPr>
          <w:rFonts w:ascii="Arial" w:hAnsi="Arial" w:cs="Arial"/>
          <w:color w:val="000000"/>
          <w:sz w:val="22"/>
          <w:szCs w:val="22"/>
        </w:rPr>
        <w:t>.</w:t>
      </w:r>
    </w:p>
    <w:p w:rsidRPr="00DD3983" w:rsidR="006020F6" w:rsidP="006020F6" w:rsidRDefault="006020F6" w14:paraId="3C040422" w14:textId="77777777">
      <w:pPr>
        <w:pStyle w:val="NormalWeb"/>
        <w:spacing w:before="0" w:beforeAutospacing="0" w:after="0" w:afterAutospacing="0"/>
        <w:jc w:val="both"/>
        <w:rPr>
          <w:rFonts w:ascii="Arial" w:hAnsi="Arial" w:cs="Arial"/>
          <w:color w:val="000000"/>
          <w:sz w:val="22"/>
          <w:szCs w:val="22"/>
        </w:rPr>
      </w:pPr>
    </w:p>
    <w:p w:rsidRPr="00DD3983" w:rsidR="00A0444A" w:rsidP="006020F6" w:rsidRDefault="00A0444A" w14:paraId="3887B6D9" w14:textId="0411B132">
      <w:pPr>
        <w:pStyle w:val="Heading3"/>
        <w:spacing w:before="0" w:after="0" w:line="240" w:lineRule="auto"/>
        <w:rPr>
          <w:rFonts w:eastAsia="Times New Roman"/>
        </w:rPr>
      </w:pPr>
      <w:r w:rsidRPr="00DD3983">
        <w:rPr>
          <w:rFonts w:eastAsia="Times New Roman"/>
        </w:rPr>
        <w:t>Geographic and Economic Disparities</w:t>
      </w:r>
    </w:p>
    <w:p w:rsidRPr="00DD3983" w:rsidR="00A0444A" w:rsidP="006020F6" w:rsidRDefault="00A0444A" w14:paraId="497E8224" w14:textId="634BBE91">
      <w:pPr>
        <w:pStyle w:val="NormalWeb"/>
        <w:spacing w:before="0" w:beforeAutospacing="0" w:after="0" w:afterAutospacing="0"/>
        <w:jc w:val="both"/>
        <w:textAlignment w:val="baseline"/>
        <w:rPr>
          <w:rFonts w:ascii="Arial" w:hAnsi="Arial" w:cs="Arial"/>
          <w:color w:val="000000" w:themeColor="text1"/>
          <w:sz w:val="22"/>
          <w:szCs w:val="22"/>
          <w:highlight w:val="yellow"/>
        </w:rPr>
      </w:pPr>
      <w:r w:rsidRPr="00DD3983">
        <w:rPr>
          <w:rFonts w:ascii="Arial" w:hAnsi="Arial" w:cs="Arial"/>
          <w:color w:val="000000" w:themeColor="text1"/>
          <w:sz w:val="22"/>
          <w:szCs w:val="22"/>
        </w:rPr>
        <w:t xml:space="preserve">There is a significant gap in dementia diagnosis between regions around the world that are </w:t>
      </w:r>
      <w:r w:rsidRPr="00DD3983" w:rsidR="00311307">
        <w:rPr>
          <w:rFonts w:ascii="Arial" w:hAnsi="Arial" w:cs="Arial"/>
          <w:color w:val="000000" w:themeColor="text1"/>
          <w:sz w:val="22"/>
          <w:szCs w:val="22"/>
        </w:rPr>
        <w:t>economically</w:t>
      </w:r>
      <w:r w:rsidRPr="00DD3983">
        <w:rPr>
          <w:rFonts w:ascii="Arial" w:hAnsi="Arial" w:cs="Arial"/>
          <w:color w:val="000000" w:themeColor="text1"/>
          <w:sz w:val="22"/>
          <w:szCs w:val="22"/>
        </w:rPr>
        <w:t xml:space="preserve"> different. </w:t>
      </w:r>
      <w:r w:rsidRPr="00DD3983" w:rsidR="000B477C">
        <w:rPr>
          <w:rFonts w:ascii="Arial" w:hAnsi="Arial" w:cs="Arial"/>
          <w:color w:val="000000" w:themeColor="text1"/>
          <w:sz w:val="22"/>
          <w:szCs w:val="22"/>
        </w:rPr>
        <w:t xml:space="preserve">Lower middle-income countries </w:t>
      </w:r>
      <w:r w:rsidRPr="00DD3983">
        <w:rPr>
          <w:rFonts w:ascii="Arial" w:hAnsi="Arial" w:cs="Arial"/>
          <w:color w:val="000000" w:themeColor="text1"/>
          <w:sz w:val="22"/>
          <w:szCs w:val="22"/>
        </w:rPr>
        <w:t xml:space="preserve">(LMICs) tend to focus on the treatment of infectious </w:t>
      </w:r>
      <w:r w:rsidRPr="00506D2B">
        <w:rPr>
          <w:rFonts w:ascii="Arial" w:hAnsi="Arial" w:cs="Arial"/>
          <w:color w:val="000000" w:themeColor="text1"/>
          <w:sz w:val="22"/>
          <w:szCs w:val="22"/>
        </w:rPr>
        <w:t>diseases like HIV/AIDS and Tuberculosis, as a result leading to the neglect of AD along with the lack of skilled neurologists, cognitive screening devices, and even the necessary neuroimaging equipment</w:t>
      </w:r>
      <w:r w:rsidR="00C01756">
        <w:rPr>
          <w:rFonts w:ascii="Arial" w:hAnsi="Arial" w:cs="Arial"/>
          <w:color w:val="000000" w:themeColor="text1"/>
          <w:sz w:val="22"/>
          <w:szCs w:val="22"/>
        </w:rPr>
        <w:t>.</w:t>
      </w:r>
      <w:r w:rsidRPr="00506D2B">
        <w:rPr>
          <w:rStyle w:val="normaltextrun"/>
          <w:rFonts w:ascii="Arial" w:hAnsi="Arial" w:cs="Arial" w:eastAsiaTheme="majorEastAsia"/>
          <w:color w:val="000000"/>
          <w:sz w:val="22"/>
          <w:szCs w:val="22"/>
        </w:rPr>
        <w:fldChar w:fldCharType="begin"/>
      </w:r>
      <w:r w:rsidR="00025355">
        <w:rPr>
          <w:rStyle w:val="normaltextrun"/>
          <w:rFonts w:ascii="Arial" w:hAnsi="Arial" w:cs="Arial" w:eastAsiaTheme="majorEastAsia"/>
          <w:color w:val="000000"/>
          <w:sz w:val="22"/>
          <w:szCs w:val="22"/>
        </w:rPr>
        <w:instrText xml:space="preserve"> ADDIN ZOTERO_ITEM CSL_CITATION {"citationID":"s7ZBVUX7","properties":{"formattedCitation":"\\super 68\\nosupersub{}","plainCitation":"68","noteIndex":0},"citationItems":[{"id":"7XVybpWP/1N4gOcW8","uris":["http://zotero.org/users/14808070/items/P3T3PBLS"],"itemData":{"id":1054,"type":"article-journal","abstract":"BACKGROUND: The significant increase in Alzheimer's disease and related dementia prevalence is a global health crisis, acutely impacting low- and lower-middle and upper-middle-income countries (LLMICs/UMICs).\nOBJECTIVE: The objective of this study is to identify key barriers and gaps in dementia care and research in LLMICs and UMICs.\nMETHODS: We conducted an international, cross-sectional survey among clinicians and healthcare professionals (n = 249 in 34 countries) across LLMICs and UMICs, exploring patient demographics, use of clinical diagnosis, dementia evaluation, screening/evaluation tools, and care and treatment.\nRESULTS: Significant disparities were found in diagnostic practices, access to assessments, and access to care. On average, clinicians in LLMICs saw more patients, had less time for evaluations, lower use of formal screening and tools, and less access to biomarkers. They were also under-resourced compared to UMICs.\nCONCLUSIONS: The findings provide insights for policymakers, healthcare organizations, and researchers to address the complex challenges associated with dementia care in diverse settings. Addressing these challenges requires a multipronged approach involving local, national, and international stakeholders.","container-title":"Journal of Alzheimer's disease: JAD","DOI":"10.3233/JAD-240650","ISSN":"1875-8908","issue":"4","journalAbbreviation":"J Alzheimers Dis","language":"eng","note":"PMID: 39302373","page":"1307-1320","source":"PubMed","title":"Identifying Gaps and Barriers in Alzheimer's Disease and Related Dementia Research and Management in Low- and Middle-Income Countries: A Survey of Health Professionals and Researchers","title-short":"Identifying Gaps and Barriers in Alzheimer's Disease and Related Dementia Research and Management in Low- and Middle-Income Countries","volume":"101","author":[{"family":"Babulal","given":"Ganesh M."},{"family":"Zha","given":"Wenqing"},{"family":"Trani","given":"Jean-Francois"},{"family":"Guerra","given":"Jorge Llibre"},{"family":"Tee","given":"Boon Lead"},{"family":"Zhu","given":"Yiqi"},{"family":"Chen","given":"Yaohua"},{"family":"Chen","given":"Ling"},{"family":"Bubu","given":"Michael"},{"family":"Josephy-Hernandez","given":"Sylvia"},{"family":"Wandera","given":"Stephen"},{"family":"Karanja","given":"Wambūi"},{"family":"Ellajosyula","given":"Ratnavalli"},{"family":"Caramelli","given":"Paulo"},{"literal":"Diversity and Disparity Professional Interest Area, Low-and-Middle-Income Working Group"}],"issued":{"date-parts":[["2024"]]}}}],"schema":"https://github.com/citation-style-language/schema/raw/master/csl-citation.json"} </w:instrText>
      </w:r>
      <w:r w:rsidRPr="00506D2B">
        <w:rPr>
          <w:rStyle w:val="normaltextrun"/>
          <w:rFonts w:ascii="Arial" w:hAnsi="Arial" w:cs="Arial" w:eastAsiaTheme="majorEastAsia"/>
          <w:color w:val="000000"/>
          <w:sz w:val="22"/>
          <w:szCs w:val="22"/>
        </w:rPr>
        <w:fldChar w:fldCharType="separate"/>
      </w:r>
      <w:r w:rsidRPr="00025355" w:rsidR="00025355">
        <w:rPr>
          <w:rFonts w:ascii="Arial" w:hAnsi="Arial" w:cs="Arial"/>
          <w:sz w:val="22"/>
          <w:vertAlign w:val="superscript"/>
        </w:rPr>
        <w:t>68</w:t>
      </w:r>
      <w:r w:rsidRPr="00506D2B">
        <w:rPr>
          <w:rStyle w:val="normaltextrun"/>
          <w:rFonts w:ascii="Arial" w:hAnsi="Arial" w:cs="Arial" w:eastAsiaTheme="majorEastAsia"/>
          <w:color w:val="000000"/>
          <w:sz w:val="22"/>
          <w:szCs w:val="22"/>
        </w:rPr>
        <w:fldChar w:fldCharType="end"/>
      </w:r>
      <w:r w:rsidRPr="00506D2B">
        <w:rPr>
          <w:rStyle w:val="normaltextrun"/>
          <w:rFonts w:ascii="Arial" w:hAnsi="Arial" w:cs="Arial" w:eastAsiaTheme="majorEastAsia"/>
          <w:color w:val="000000"/>
          <w:sz w:val="22"/>
          <w:szCs w:val="22"/>
        </w:rPr>
        <w:t xml:space="preserve"> </w:t>
      </w:r>
      <w:r w:rsidRPr="00506D2B">
        <w:rPr>
          <w:rFonts w:ascii="Arial" w:hAnsi="Arial" w:cs="Arial"/>
          <w:color w:val="000000" w:themeColor="text1"/>
          <w:sz w:val="22"/>
          <w:szCs w:val="22"/>
        </w:rPr>
        <w:t>This is consistent with the vast differences in evaluation times</w:t>
      </w:r>
      <w:r w:rsidRPr="00506D2B" w:rsidR="00B741B1">
        <w:rPr>
          <w:rFonts w:ascii="Arial" w:hAnsi="Arial" w:cs="Arial"/>
          <w:color w:val="000000" w:themeColor="text1"/>
          <w:sz w:val="22"/>
          <w:szCs w:val="22"/>
        </w:rPr>
        <w:t xml:space="preserve"> </w:t>
      </w:r>
      <w:r w:rsidRPr="00506D2B" w:rsidR="00B81E66">
        <w:rPr>
          <w:rFonts w:ascii="Arial" w:hAnsi="Arial" w:cs="Arial"/>
          <w:color w:val="000000" w:themeColor="text1"/>
          <w:sz w:val="22"/>
          <w:szCs w:val="22"/>
        </w:rPr>
        <w:t>in AD</w:t>
      </w:r>
      <w:r w:rsidRPr="00506D2B">
        <w:rPr>
          <w:rFonts w:ascii="Arial" w:hAnsi="Arial" w:cs="Arial"/>
          <w:color w:val="000000" w:themeColor="text1"/>
          <w:sz w:val="22"/>
          <w:szCs w:val="22"/>
        </w:rPr>
        <w:t>, with LMICs averaging 36.9 minutes and UMICs sitting at an average of 53.5 minutes</w:t>
      </w:r>
      <w:r w:rsidR="001843E3">
        <w:rPr>
          <w:rFonts w:ascii="Arial" w:hAnsi="Arial" w:cs="Arial"/>
          <w:color w:val="000000" w:themeColor="text1"/>
          <w:sz w:val="22"/>
          <w:szCs w:val="22"/>
        </w:rPr>
        <w:t>.</w:t>
      </w:r>
      <w:r w:rsidRPr="00506D2B">
        <w:rPr>
          <w:rStyle w:val="normaltextrun"/>
          <w:rFonts w:ascii="Arial" w:hAnsi="Arial" w:cs="Arial" w:eastAsiaTheme="majorEastAsia"/>
          <w:color w:val="000000"/>
          <w:sz w:val="22"/>
          <w:szCs w:val="22"/>
        </w:rPr>
        <w:fldChar w:fldCharType="begin"/>
      </w:r>
      <w:r w:rsidR="00025355">
        <w:rPr>
          <w:rStyle w:val="normaltextrun"/>
          <w:rFonts w:ascii="Arial" w:hAnsi="Arial" w:cs="Arial" w:eastAsiaTheme="majorEastAsia"/>
          <w:color w:val="000000"/>
          <w:sz w:val="22"/>
          <w:szCs w:val="22"/>
        </w:rPr>
        <w:instrText xml:space="preserve"> ADDIN ZOTERO_ITEM CSL_CITATION {"citationID":"hiVnuQ3E","properties":{"formattedCitation":"\\super 68\\nosupersub{}","plainCitation":"68","noteIndex":0},"citationItems":[{"id":"7XVybpWP/1N4gOcW8","uris":["http://zotero.org/users/14808070/items/P3T3PBLS"],"itemData":{"id":1054,"type":"article-journal","abstract":"BACKGROUND: The significant increase in Alzheimer's disease and related dementia prevalence is a global health crisis, acutely impacting low- and lower-middle and upper-middle-income countries (LLMICs/UMICs).\nOBJECTIVE: The objective of this study is to identify key barriers and gaps in dementia care and research in LLMICs and UMICs.\nMETHODS: We conducted an international, cross-sectional survey among clinicians and healthcare professionals (n = 249 in 34 countries) across LLMICs and UMICs, exploring patient demographics, use of clinical diagnosis, dementia evaluation, screening/evaluation tools, and care and treatment.\nRESULTS: Significant disparities were found in diagnostic practices, access to assessments, and access to care. On average, clinicians in LLMICs saw more patients, had less time for evaluations, lower use of formal screening and tools, and less access to biomarkers. They were also under-resourced compared to UMICs.\nCONCLUSIONS: The findings provide insights for policymakers, healthcare organizations, and researchers to address the complex challenges associated with dementia care in diverse settings. Addressing these challenges requires a multipronged approach involving local, national, and international stakeholders.","container-title":"Journal of Alzheimer's disease: JAD","DOI":"10.3233/JAD-240650","ISSN":"1875-8908","issue":"4","journalAbbreviation":"J Alzheimers Dis","language":"eng","note":"PMID: 39302373","page":"1307-1320","source":"PubMed","title":"Identifying Gaps and Barriers in Alzheimer's Disease and Related Dementia Research and Management in Low- and Middle-Income Countries: A Survey of Health Professionals and Researchers","title-short":"Identifying Gaps and Barriers in Alzheimer's Disease and Related Dementia Research and Management in Low- and Middle-Income Countries","volume":"101","author":[{"family":"Babulal","given":"Ganesh M."},{"family":"Zha","given":"Wenqing"},{"family":"Trani","given":"Jean-Francois"},{"family":"Guerra","given":"Jorge Llibre"},{"family":"Tee","given":"Boon Lead"},{"family":"Zhu","given":"Yiqi"},{"family":"Chen","given":"Yaohua"},{"family":"Chen","given":"Ling"},{"family":"Bubu","given":"Michael"},{"family":"Josephy-Hernandez","given":"Sylvia"},{"family":"Wandera","given":"Stephen"},{"family":"Karanja","given":"Wambūi"},{"family":"Ellajosyula","given":"Ratnavalli"},{"family":"Caramelli","given":"Paulo"},{"literal":"Diversity and Disparity Professional Interest Area, Low-and-Middle-Income Working Group"}],"issued":{"date-parts":[["2024"]]}}}],"schema":"https://github.com/citation-style-language/schema/raw/master/csl-citation.json"} </w:instrText>
      </w:r>
      <w:r w:rsidRPr="00506D2B">
        <w:rPr>
          <w:rStyle w:val="normaltextrun"/>
          <w:rFonts w:ascii="Arial" w:hAnsi="Arial" w:cs="Arial" w:eastAsiaTheme="majorEastAsia"/>
          <w:color w:val="000000"/>
          <w:sz w:val="22"/>
          <w:szCs w:val="22"/>
        </w:rPr>
        <w:fldChar w:fldCharType="separate"/>
      </w:r>
      <w:r w:rsidRPr="00025355" w:rsidR="00025355">
        <w:rPr>
          <w:rFonts w:ascii="Arial" w:hAnsi="Arial" w:cs="Arial"/>
          <w:sz w:val="22"/>
          <w:vertAlign w:val="superscript"/>
        </w:rPr>
        <w:t>68</w:t>
      </w:r>
      <w:r w:rsidRPr="00506D2B">
        <w:rPr>
          <w:rStyle w:val="normaltextrun"/>
          <w:rFonts w:ascii="Arial" w:hAnsi="Arial" w:cs="Arial" w:eastAsiaTheme="majorEastAsia"/>
          <w:color w:val="000000"/>
          <w:sz w:val="22"/>
          <w:szCs w:val="22"/>
        </w:rPr>
        <w:fldChar w:fldCharType="end"/>
      </w:r>
      <w:r w:rsidR="00AE230F">
        <w:rPr>
          <w:rStyle w:val="normaltextrun"/>
          <w:rFonts w:ascii="Arial" w:hAnsi="Arial" w:cs="Arial" w:eastAsiaTheme="majorEastAsia"/>
          <w:color w:val="000000"/>
          <w:sz w:val="22"/>
          <w:szCs w:val="22"/>
        </w:rPr>
        <w:t xml:space="preserve"> </w:t>
      </w:r>
      <w:r w:rsidRPr="00506D2B" w:rsidR="003C117E">
        <w:rPr>
          <w:rFonts w:ascii="Arial" w:hAnsi="Arial" w:cs="Arial"/>
          <w:color w:val="000000" w:themeColor="text1"/>
          <w:sz w:val="22"/>
          <w:szCs w:val="22"/>
        </w:rPr>
        <w:t xml:space="preserve">The use of cognitive screening tools also reflect this disparity 94.5% of </w:t>
      </w:r>
      <w:r w:rsidRPr="00506D2B" w:rsidR="001D647B">
        <w:rPr>
          <w:rFonts w:ascii="Arial" w:hAnsi="Arial" w:cs="Arial"/>
          <w:color w:val="000000" w:themeColor="text1"/>
          <w:sz w:val="22"/>
          <w:szCs w:val="22"/>
        </w:rPr>
        <w:t>practitioners</w:t>
      </w:r>
      <w:r w:rsidRPr="00506D2B" w:rsidR="003C117E">
        <w:rPr>
          <w:rFonts w:ascii="Arial" w:hAnsi="Arial" w:cs="Arial"/>
          <w:color w:val="000000" w:themeColor="text1"/>
          <w:sz w:val="22"/>
          <w:szCs w:val="22"/>
        </w:rPr>
        <w:t xml:space="preserve"> in UMICS utilizing these tools compared to a considerably lower at 79.6% in LMICs, which impacts the effectiveness of early diagnoses in LMICs</w:t>
      </w:r>
      <w:r w:rsidR="001843E3">
        <w:rPr>
          <w:rFonts w:ascii="Arial" w:hAnsi="Arial" w:cs="Arial"/>
          <w:color w:val="000000" w:themeColor="text1"/>
          <w:sz w:val="22"/>
          <w:szCs w:val="22"/>
        </w:rPr>
        <w:t>.</w:t>
      </w:r>
      <w:r w:rsidRPr="00506D2B" w:rsidR="003C117E">
        <w:rPr>
          <w:rStyle w:val="normaltextrun"/>
          <w:rFonts w:ascii="Arial" w:hAnsi="Arial" w:cs="Arial" w:eastAsiaTheme="majorEastAsia"/>
          <w:color w:val="000000"/>
          <w:sz w:val="22"/>
          <w:szCs w:val="22"/>
        </w:rPr>
        <w:fldChar w:fldCharType="begin"/>
      </w:r>
      <w:r w:rsidR="00025355">
        <w:rPr>
          <w:rStyle w:val="normaltextrun"/>
          <w:rFonts w:ascii="Arial" w:hAnsi="Arial" w:cs="Arial" w:eastAsiaTheme="majorEastAsia"/>
          <w:color w:val="000000"/>
          <w:sz w:val="22"/>
          <w:szCs w:val="22"/>
        </w:rPr>
        <w:instrText xml:space="preserve"> ADDIN ZOTERO_ITEM CSL_CITATION {"citationID":"0baaeR4C","properties":{"formattedCitation":"\\super 68\\nosupersub{}","plainCitation":"68","noteIndex":0},"citationItems":[{"id":"7XVybpWP/1N4gOcW8","uris":["http://zotero.org/users/14808070/items/P3T3PBLS"],"itemData":{"id":1054,"type":"article-journal","abstract":"BACKGROUND: The significant increase in Alzheimer's disease and related dementia prevalence is a global health crisis, acutely impacting low- and lower-middle and upper-middle-income countries (LLMICs/UMICs).\nOBJECTIVE: The objective of this study is to identify key barriers and gaps in dementia care and research in LLMICs and UMICs.\nMETHODS: We conducted an international, cross-sectional survey among clinicians and healthcare professionals (n = 249 in 34 countries) across LLMICs and UMICs, exploring patient demographics, use of clinical diagnosis, dementia evaluation, screening/evaluation tools, and care and treatment.\nRESULTS: Significant disparities were found in diagnostic practices, access to assessments, and access to care. On average, clinicians in LLMICs saw more patients, had less time for evaluations, lower use of formal screening and tools, and less access to biomarkers. They were also under-resourced compared to UMICs.\nCONCLUSIONS: The findings provide insights for policymakers, healthcare organizations, and researchers to address the complex challenges associated with dementia care in diverse settings. Addressing these challenges requires a multipronged approach involving local, national, and international stakeholders.","container-title":"Journal of Alzheimer's disease: JAD","DOI":"10.3233/JAD-240650","ISSN":"1875-8908","issue":"4","journalAbbreviation":"J Alzheimers Dis","language":"eng","note":"PMID: 39302373","page":"1307-1320","source":"PubMed","title":"Identifying Gaps and Barriers in Alzheimer's Disease and Related Dementia Research and Management in Low- and Middle-Income Countries: A Survey of Health Professionals and Researchers","title-short":"Identifying Gaps and Barriers in Alzheimer's Disease and Related Dementia Research and Management in Low- and Middle-Income Countries","volume":"101","author":[{"family":"Babulal","given":"Ganesh M."},{"family":"Zha","given":"Wenqing"},{"family":"Trani","given":"Jean-Francois"},{"family":"Guerra","given":"Jorge Llibre"},{"family":"Tee","given":"Boon Lead"},{"family":"Zhu","given":"Yiqi"},{"family":"Chen","given":"Yaohua"},{"family":"Chen","given":"Ling"},{"family":"Bubu","given":"Michael"},{"family":"Josephy-Hernandez","given":"Sylvia"},{"family":"Wandera","given":"Stephen"},{"family":"Karanja","given":"Wambūi"},{"family":"Ellajosyula","given":"Ratnavalli"},{"family":"Caramelli","given":"Paulo"},{"literal":"Diversity and Disparity Professional Interest Area, Low-and-Middle-Income Working Group"}],"issued":{"date-parts":[["2024"]]}}}],"schema":"https://github.com/citation-style-language/schema/raw/master/csl-citation.json"} </w:instrText>
      </w:r>
      <w:r w:rsidRPr="00506D2B" w:rsidR="003C117E">
        <w:rPr>
          <w:rStyle w:val="normaltextrun"/>
          <w:rFonts w:ascii="Arial" w:hAnsi="Arial" w:cs="Arial" w:eastAsiaTheme="majorEastAsia"/>
          <w:color w:val="000000"/>
          <w:sz w:val="22"/>
          <w:szCs w:val="22"/>
        </w:rPr>
        <w:fldChar w:fldCharType="separate"/>
      </w:r>
      <w:r w:rsidRPr="00025355" w:rsidR="00025355">
        <w:rPr>
          <w:rFonts w:ascii="Arial" w:hAnsi="Arial" w:cs="Arial"/>
          <w:sz w:val="22"/>
          <w:vertAlign w:val="superscript"/>
        </w:rPr>
        <w:t>68</w:t>
      </w:r>
      <w:r w:rsidRPr="00506D2B" w:rsidR="003C117E">
        <w:rPr>
          <w:rStyle w:val="normaltextrun"/>
          <w:rFonts w:ascii="Arial" w:hAnsi="Arial" w:cs="Arial" w:eastAsiaTheme="majorEastAsia"/>
          <w:color w:val="000000"/>
          <w:sz w:val="22"/>
          <w:szCs w:val="22"/>
        </w:rPr>
        <w:fldChar w:fldCharType="end"/>
      </w:r>
    </w:p>
    <w:p w:rsidRPr="00506D2B" w:rsidR="00A0444A" w:rsidP="006618CC" w:rsidRDefault="00A0444A" w14:paraId="15537AB8" w14:textId="2AD328A0">
      <w:pPr>
        <w:pStyle w:val="NormalWeb"/>
        <w:spacing w:before="240" w:beforeAutospacing="0" w:after="240" w:afterAutospacing="0"/>
        <w:jc w:val="both"/>
        <w:textAlignment w:val="baseline"/>
        <w:rPr>
          <w:rFonts w:ascii="Arial" w:hAnsi="Arial" w:cs="Arial"/>
          <w:color w:val="000000" w:themeColor="text1"/>
          <w:sz w:val="22"/>
          <w:szCs w:val="22"/>
        </w:rPr>
      </w:pPr>
      <w:r w:rsidRPr="00DD3983">
        <w:rPr>
          <w:rFonts w:ascii="Arial" w:hAnsi="Arial" w:cs="Arial"/>
          <w:color w:val="000000" w:themeColor="text1"/>
          <w:sz w:val="22"/>
          <w:szCs w:val="22"/>
        </w:rPr>
        <w:t>Furthermore, there has been a divide between urban and rural areas. The dense population centers in Latin America are served by a small number of dementia specialists, meaning that the rural parts are underserved and patients have to travel great distances to receive an assessment which delays the diagnosis and treatment</w:t>
      </w:r>
      <w:r w:rsidR="001843E3">
        <w:rPr>
          <w:rFonts w:ascii="Arial" w:hAnsi="Arial" w:cs="Arial"/>
          <w:color w:val="000000" w:themeColor="text1"/>
          <w:sz w:val="22"/>
          <w:szCs w:val="22"/>
        </w:rPr>
        <w:t>.</w:t>
      </w:r>
      <w:r w:rsidRPr="00506D2B">
        <w:rPr>
          <w:rStyle w:val="normaltextrun"/>
          <w:rFonts w:ascii="Arial" w:hAnsi="Arial" w:cs="Arial" w:eastAsiaTheme="majorEastAsia"/>
          <w:color w:val="000000"/>
          <w:sz w:val="22"/>
          <w:szCs w:val="22"/>
        </w:rPr>
        <w:fldChar w:fldCharType="begin"/>
      </w:r>
      <w:r w:rsidR="00025355">
        <w:rPr>
          <w:rStyle w:val="normaltextrun"/>
          <w:rFonts w:ascii="Arial" w:hAnsi="Arial" w:cs="Arial" w:eastAsiaTheme="majorEastAsia"/>
          <w:color w:val="000000"/>
          <w:sz w:val="22"/>
          <w:szCs w:val="22"/>
        </w:rPr>
        <w:instrText xml:space="preserve"> ADDIN ZOTERO_ITEM CSL_CITATION {"citationID":"hhRDL01C","properties":{"formattedCitation":"\\super 69\\nosupersub{}","plainCitation":"69","noteIndex":0},"citationItems":[{"id":"7XVybpWP/A1cdeFnb","uris":["http://zotero.org/users/14808070/items/N7BPXEWL"],"itemData":{"id":1068,"type":"article-journal","container-title":"Frontiers in Aging Neuroscience","DOI":"10.3389/fnagi.2016.00253","ISSN":"1663-4365","journalAbbreviation":"Front Aging Neurosci","note":"PMID: 27840605\nPMCID: PMC5083841","page":"253","source":"PubMed Central","title":"Dementia in Latin America: An Emergent Silent Tsunami","title-short":"Dementia in Latin America","volume":"8","author":[{"family":"Baez","given":"Sandra"},{"family":"Ibáñez","given":"Agustín"}],"issued":{"date-parts":[["2016",10,28]]}}}],"schema":"https://github.com/citation-style-language/schema/raw/master/csl-citation.json"} </w:instrText>
      </w:r>
      <w:r w:rsidRPr="00506D2B">
        <w:rPr>
          <w:rStyle w:val="normaltextrun"/>
          <w:rFonts w:ascii="Arial" w:hAnsi="Arial" w:cs="Arial" w:eastAsiaTheme="majorEastAsia"/>
          <w:color w:val="000000"/>
          <w:sz w:val="22"/>
          <w:szCs w:val="22"/>
        </w:rPr>
        <w:fldChar w:fldCharType="separate"/>
      </w:r>
      <w:r w:rsidRPr="00025355" w:rsidR="00025355">
        <w:rPr>
          <w:rFonts w:ascii="Arial" w:hAnsi="Arial" w:cs="Arial"/>
          <w:sz w:val="22"/>
          <w:vertAlign w:val="superscript"/>
        </w:rPr>
        <w:t>69</w:t>
      </w:r>
      <w:r w:rsidRPr="00506D2B">
        <w:rPr>
          <w:rStyle w:val="normaltextrun"/>
          <w:rFonts w:ascii="Arial" w:hAnsi="Arial" w:cs="Arial" w:eastAsiaTheme="majorEastAsia"/>
          <w:color w:val="000000"/>
          <w:sz w:val="22"/>
          <w:szCs w:val="22"/>
        </w:rPr>
        <w:fldChar w:fldCharType="end"/>
      </w:r>
      <w:r w:rsidRPr="00506D2B">
        <w:rPr>
          <w:rStyle w:val="normaltextrun"/>
          <w:rFonts w:ascii="Arial" w:hAnsi="Arial" w:cs="Arial" w:eastAsiaTheme="majorEastAsia"/>
          <w:color w:val="000000"/>
          <w:sz w:val="22"/>
          <w:szCs w:val="22"/>
        </w:rPr>
        <w:t xml:space="preserve"> </w:t>
      </w:r>
      <w:r w:rsidRPr="00DD3983">
        <w:rPr>
          <w:rFonts w:ascii="Arial" w:hAnsi="Arial" w:cs="Arial"/>
          <w:color w:val="000000" w:themeColor="text1"/>
          <w:sz w:val="22"/>
          <w:szCs w:val="22"/>
        </w:rPr>
        <w:t>In the same way, rural North American and European practitioners often do not have access to specialists and are therefore forced to rely on information provided by relatives, raising the chances of incorrectly deciding the person's decline in cognitive abilities is due to aging rather than a neurodegenerative disease</w:t>
      </w:r>
      <w:r w:rsidR="001843E3">
        <w:rPr>
          <w:rFonts w:ascii="Arial" w:hAnsi="Arial" w:cs="Arial"/>
          <w:color w:val="000000" w:themeColor="text1"/>
          <w:sz w:val="22"/>
          <w:szCs w:val="22"/>
        </w:rPr>
        <w:t>.</w:t>
      </w:r>
      <w:r w:rsidRPr="00506D2B">
        <w:rPr>
          <w:rStyle w:val="normaltextrun"/>
          <w:rFonts w:ascii="Arial" w:hAnsi="Arial" w:cs="Arial" w:eastAsiaTheme="majorEastAsia"/>
          <w:color w:val="000000"/>
          <w:sz w:val="22"/>
          <w:szCs w:val="22"/>
        </w:rPr>
        <w:fldChar w:fldCharType="begin"/>
      </w:r>
      <w:r w:rsidR="00025355">
        <w:rPr>
          <w:rStyle w:val="normaltextrun"/>
          <w:rFonts w:ascii="Arial" w:hAnsi="Arial" w:cs="Arial" w:eastAsiaTheme="majorEastAsia"/>
          <w:color w:val="000000"/>
          <w:sz w:val="22"/>
          <w:szCs w:val="22"/>
        </w:rPr>
        <w:instrText xml:space="preserve"> ADDIN ZOTERO_ITEM CSL_CITATION {"citationID":"N12bZGtP","properties":{"formattedCitation":"\\super 70\\nosupersub{}","plainCitation":"70","noteIndex":0},"citationItems":[{"id":"7XVybpWP/dnNzB68z","uris":["http://zotero.org/users/14808070/items/MS6BUM7V"],"itemData":{"id":1056,"type":"article-journal","abstract":"When diagnosis of dementia occurs earlier in the disease process, more time is available for treatment aimed at maintaining patient function and delaying decline, and for family education about the disease and its management. Primary care providers often, however, face challenges in making timely diagnoses. Nineteen practitioners in mostly rural areas of a mid-western state were interviewed about their experiences in diagnosis and treatment, to develop a more comprehensive understanding of barriers encountered by providers in non-metropolitan areas. Participants estimated that the time from symptom onset to diagnosis ranged from several months to one year, largely dependant upon family recognition. Limitations in access to consultants and limited or non-existent community support and education resources were major impediments to diagnosis and treatment, respectively. Like their colleagues in more urban communities, denial among family members, or families who were absent or uncooperative, created additional challenges for providers in making and communicating diagnoses and in supporting home-based or institutional care. Conversely, supportive and motivated families played a central role in positive patient care experiences. Participants agreed that support and education services were important for family caregivers, but generally had few resources to offer families, which constrained their ability to provide optimal care. Identifying challenges faced by rural practitioners is essential to planning appropriate interventions for consultative support and educational outreach.","container-title":"Aging &amp; Mental Health","DOI":"10.1080/13607860410001725018","ISSN":"1360-7863","issue":"5","journalAbbreviation":"Aging Ment Health","language":"eng","note":"PMID: 15511740","page":"422-429","source":"PubMed","title":"Rural practitioners' experiences in dementia diagnosis and treatment","volume":"8","author":[{"family":"Teel","given":"C. S."}],"issued":{"date-parts":[["2004",9]]}}}],"schema":"https://github.com/citation-style-language/schema/raw/master/csl-citation.json"} </w:instrText>
      </w:r>
      <w:r w:rsidRPr="00506D2B">
        <w:rPr>
          <w:rStyle w:val="normaltextrun"/>
          <w:rFonts w:ascii="Arial" w:hAnsi="Arial" w:cs="Arial" w:eastAsiaTheme="majorEastAsia"/>
          <w:color w:val="000000"/>
          <w:sz w:val="22"/>
          <w:szCs w:val="22"/>
        </w:rPr>
        <w:fldChar w:fldCharType="separate"/>
      </w:r>
      <w:r w:rsidRPr="00025355" w:rsidR="00025355">
        <w:rPr>
          <w:rFonts w:ascii="Arial" w:hAnsi="Arial" w:cs="Arial"/>
          <w:sz w:val="22"/>
          <w:vertAlign w:val="superscript"/>
        </w:rPr>
        <w:t>70</w:t>
      </w:r>
      <w:r w:rsidRPr="00506D2B">
        <w:rPr>
          <w:rStyle w:val="normaltextrun"/>
          <w:rFonts w:ascii="Arial" w:hAnsi="Arial" w:cs="Arial" w:eastAsiaTheme="majorEastAsia"/>
          <w:color w:val="000000"/>
          <w:sz w:val="22"/>
          <w:szCs w:val="22"/>
        </w:rPr>
        <w:fldChar w:fldCharType="end"/>
      </w:r>
    </w:p>
    <w:p w:rsidRPr="00506D2B" w:rsidR="001322D0" w:rsidP="006618CC" w:rsidRDefault="00A0444A" w14:paraId="20B4C5D4" w14:textId="519701B4">
      <w:pPr>
        <w:pStyle w:val="NormalWeb"/>
        <w:spacing w:before="240" w:beforeAutospacing="0" w:after="240" w:afterAutospacing="0"/>
        <w:jc w:val="both"/>
        <w:textAlignment w:val="baseline"/>
        <w:rPr>
          <w:rFonts w:ascii="Arial" w:hAnsi="Arial" w:cs="Arial" w:eastAsiaTheme="majorEastAsia"/>
          <w:color w:val="000000"/>
          <w:sz w:val="22"/>
          <w:szCs w:val="22"/>
        </w:rPr>
      </w:pPr>
      <w:r w:rsidRPr="00506D2B">
        <w:rPr>
          <w:rFonts w:ascii="Arial" w:hAnsi="Arial" w:cs="Arial"/>
          <w:color w:val="000000" w:themeColor="text1"/>
          <w:sz w:val="22"/>
          <w:szCs w:val="22"/>
        </w:rPr>
        <w:t>As with most diagnostic technologies, there is a systemic issue of inequality present. While 87% of practitioners in Upper Middle Income countries (UMIC) have access to structural neuroimaging, only 75.7% of LMIC do</w:t>
      </w:r>
      <w:r w:rsidR="001843E3">
        <w:rPr>
          <w:rFonts w:ascii="Arial" w:hAnsi="Arial" w:cs="Arial"/>
          <w:color w:val="000000" w:themeColor="text1"/>
          <w:sz w:val="22"/>
          <w:szCs w:val="22"/>
        </w:rPr>
        <w:t>.</w:t>
      </w:r>
      <w:r w:rsidRPr="00506D2B">
        <w:rPr>
          <w:rStyle w:val="normaltextrun"/>
          <w:rFonts w:ascii="Arial" w:hAnsi="Arial" w:cs="Arial" w:eastAsiaTheme="majorEastAsia"/>
          <w:color w:val="000000"/>
          <w:sz w:val="22"/>
          <w:szCs w:val="22"/>
        </w:rPr>
        <w:fldChar w:fldCharType="begin"/>
      </w:r>
      <w:r w:rsidR="00025355">
        <w:rPr>
          <w:rStyle w:val="normaltextrun"/>
          <w:rFonts w:ascii="Arial" w:hAnsi="Arial" w:cs="Arial" w:eastAsiaTheme="majorEastAsia"/>
          <w:color w:val="000000"/>
          <w:sz w:val="22"/>
          <w:szCs w:val="22"/>
        </w:rPr>
        <w:instrText xml:space="preserve"> ADDIN ZOTERO_ITEM CSL_CITATION {"citationID":"iaKzXyag","properties":{"formattedCitation":"\\super 68\\nosupersub{}","plainCitation":"68","noteIndex":0},"citationItems":[{"id":"7XVybpWP/1N4gOcW8","uris":["http://zotero.org/users/14808070/items/P3T3PBLS"],"itemData":{"id":1054,"type":"article-journal","abstract":"BACKGROUND: The significant increase in Alzheimer's disease and related dementia prevalence is a global health crisis, acutely impacting low- and lower-middle and upper-middle-income countries (LLMICs/UMICs).\nOBJECTIVE: The objective of this study is to identify key barriers and gaps in dementia care and research in LLMICs and UMICs.\nMETHODS: We conducted an international, cross-sectional survey among clinicians and healthcare professionals (n = 249 in 34 countries) across LLMICs and UMICs, exploring patient demographics, use of clinical diagnosis, dementia evaluation, screening/evaluation tools, and care and treatment.\nRESULTS: Significant disparities were found in diagnostic practices, access to assessments, and access to care. On average, clinicians in LLMICs saw more patients, had less time for evaluations, lower use of formal screening and tools, and less access to biomarkers. They were also under-resourced compared to UMICs.\nCONCLUSIONS: The findings provide insights for policymakers, healthcare organizations, and researchers to address the complex challenges associated with dementia care in diverse settings. Addressing these challenges requires a multipronged approach involving local, national, and international stakeholders.","container-title":"Journal of Alzheimer's disease: JAD","DOI":"10.3233/JAD-240650","ISSN":"1875-8908","issue":"4","journalAbbreviation":"J Alzheimers Dis","language":"eng","note":"PMID: 39302373","page":"1307-1320","source":"PubMed","title":"Identifying Gaps and Barriers in Alzheimer's Disease and Related Dementia Research and Management in Low- and Middle-Income Countries: A Survey of Health Professionals and Researchers","title-short":"Identifying Gaps and Barriers in Alzheimer's Disease and Related Dementia Research and Management in Low- and Middle-Income Countries","volume":"101","author":[{"family":"Babulal","given":"Ganesh M."},{"family":"Zha","given":"Wenqing"},{"family":"Trani","given":"Jean-Francois"},{"family":"Guerra","given":"Jorge Llibre"},{"family":"Tee","given":"Boon Lead"},{"family":"Zhu","given":"Yiqi"},{"family":"Chen","given":"Yaohua"},{"family":"Chen","given":"Ling"},{"family":"Bubu","given":"Michael"},{"family":"Josephy-Hernandez","given":"Sylvia"},{"family":"Wandera","given":"Stephen"},{"family":"Karanja","given":"Wambūi"},{"family":"Ellajosyula","given":"Ratnavalli"},{"family":"Caramelli","given":"Paulo"},{"literal":"Diversity and Disparity Professional Interest Area, Low-and-Middle-Income Working Group"}],"issued":{"date-parts":[["2024"]]}}}],"schema":"https://github.com/citation-style-language/schema/raw/master/csl-citation.json"} </w:instrText>
      </w:r>
      <w:r w:rsidRPr="00506D2B">
        <w:rPr>
          <w:rStyle w:val="normaltextrun"/>
          <w:rFonts w:ascii="Arial" w:hAnsi="Arial" w:cs="Arial" w:eastAsiaTheme="majorEastAsia"/>
          <w:color w:val="000000"/>
          <w:sz w:val="22"/>
          <w:szCs w:val="22"/>
        </w:rPr>
        <w:fldChar w:fldCharType="separate"/>
      </w:r>
      <w:r w:rsidRPr="00025355" w:rsidR="00025355">
        <w:rPr>
          <w:rFonts w:ascii="Arial" w:hAnsi="Arial" w:cs="Arial"/>
          <w:sz w:val="22"/>
          <w:vertAlign w:val="superscript"/>
        </w:rPr>
        <w:t>68</w:t>
      </w:r>
      <w:r w:rsidRPr="00506D2B">
        <w:rPr>
          <w:rStyle w:val="normaltextrun"/>
          <w:rFonts w:ascii="Arial" w:hAnsi="Arial" w:cs="Arial" w:eastAsiaTheme="majorEastAsia"/>
          <w:color w:val="000000"/>
          <w:sz w:val="22"/>
          <w:szCs w:val="22"/>
        </w:rPr>
        <w:fldChar w:fldCharType="end"/>
      </w:r>
      <w:r w:rsidR="00BA6E8A">
        <w:rPr>
          <w:rStyle w:val="normaltextrun"/>
          <w:rFonts w:ascii="Arial" w:hAnsi="Arial" w:cs="Arial" w:eastAsiaTheme="majorEastAsia"/>
          <w:color w:val="000000"/>
          <w:sz w:val="22"/>
          <w:szCs w:val="22"/>
        </w:rPr>
        <w:t xml:space="preserve"> </w:t>
      </w:r>
      <w:r w:rsidRPr="00506D2B" w:rsidR="00BA6E8A">
        <w:rPr>
          <w:rFonts w:ascii="Arial" w:hAnsi="Arial" w:cs="Arial"/>
          <w:color w:val="000000" w:themeColor="text1"/>
          <w:sz w:val="22"/>
          <w:szCs w:val="22"/>
        </w:rPr>
        <w:t>In LMICs, standard issue diagnostic guidelines may not be economically feasible due to financial restraints as only 52.4% of practitioners use them compared to 82.2% of practitioners in UMICs</w:t>
      </w:r>
      <w:r w:rsidR="001843E3">
        <w:rPr>
          <w:rFonts w:ascii="Arial" w:hAnsi="Arial" w:cs="Arial"/>
          <w:color w:val="000000" w:themeColor="text1"/>
          <w:sz w:val="22"/>
          <w:szCs w:val="22"/>
        </w:rPr>
        <w:t>.</w:t>
      </w:r>
      <w:r w:rsidRPr="00506D2B" w:rsidR="00BA6E8A">
        <w:rPr>
          <w:rStyle w:val="normaltextrun"/>
          <w:rFonts w:ascii="Arial" w:hAnsi="Arial" w:cs="Arial" w:eastAsiaTheme="majorEastAsia"/>
          <w:color w:val="000000"/>
          <w:sz w:val="22"/>
          <w:szCs w:val="22"/>
        </w:rPr>
        <w:fldChar w:fldCharType="begin"/>
      </w:r>
      <w:r w:rsidR="00025355">
        <w:rPr>
          <w:rStyle w:val="normaltextrun"/>
          <w:rFonts w:ascii="Arial" w:hAnsi="Arial" w:cs="Arial" w:eastAsiaTheme="majorEastAsia"/>
          <w:color w:val="000000"/>
          <w:sz w:val="22"/>
          <w:szCs w:val="22"/>
        </w:rPr>
        <w:instrText xml:space="preserve"> ADDIN ZOTERO_ITEM CSL_CITATION {"citationID":"hZbVInts","properties":{"formattedCitation":"\\super 68\\nosupersub{}","plainCitation":"68","noteIndex":0},"citationItems":[{"id":"7XVybpWP/1N4gOcW8","uris":["http://zotero.org/users/14808070/items/P3T3PBLS"],"itemData":{"id":1054,"type":"article-journal","abstract":"BACKGROUND: The significant increase in Alzheimer's disease and related dementia prevalence is a global health crisis, acutely impacting low- and lower-middle and upper-middle-income countries (LLMICs/UMICs).\nOBJECTIVE: The objective of this study is to identify key barriers and gaps in dementia care and research in LLMICs and UMICs.\nMETHODS: We conducted an international, cross-sectional survey among clinicians and healthcare professionals (n = 249 in 34 countries) across LLMICs and UMICs, exploring patient demographics, use of clinical diagnosis, dementia evaluation, screening/evaluation tools, and care and treatment.\nRESULTS: Significant disparities were found in diagnostic practices, access to assessments, and access to care. On average, clinicians in LLMICs saw more patients, had less time for evaluations, lower use of formal screening and tools, and less access to biomarkers. They were also under-resourced compared to UMICs.\nCONCLUSIONS: The findings provide insights for policymakers, healthcare organizations, and researchers to address the complex challenges associated with dementia care in diverse settings. Addressing these challenges requires a multipronged approach involving local, national, and international stakeholders.","container-title":"Journal of Alzheimer's disease: JAD","DOI":"10.3233/JAD-240650","ISSN":"1875-8908","issue":"4","journalAbbreviation":"J Alzheimers Dis","language":"eng","note":"PMID: 39302373","page":"1307-1320","source":"PubMed","title":"Identifying Gaps and Barriers in Alzheimer's Disease and Related Dementia Research and Management in Low- and Middle-Income Countries: A Survey of Health Professionals and Researchers","title-short":"Identifying Gaps and Barriers in Alzheimer's Disease and Related Dementia Research and Management in Low- and Middle-Income Countries","volume":"101","author":[{"family":"Babulal","given":"Ganesh M."},{"family":"Zha","given":"Wenqing"},{"family":"Trani","given":"Jean-Francois"},{"family":"Guerra","given":"Jorge Llibre"},{"family":"Tee","given":"Boon Lead"},{"family":"Zhu","given":"Yiqi"},{"family":"Chen","given":"Yaohua"},{"family":"Chen","given":"Ling"},{"family":"Bubu","given":"Michael"},{"family":"Josephy-Hernandez","given":"Sylvia"},{"family":"Wandera","given":"Stephen"},{"family":"Karanja","given":"Wambūi"},{"family":"Ellajosyula","given":"Ratnavalli"},{"family":"Caramelli","given":"Paulo"},{"literal":"Diversity and Disparity Professional Interest Area, Low-and-Middle-Income Working Group"}],"issued":{"date-parts":[["2024"]]}}}],"schema":"https://github.com/citation-style-language/schema/raw/master/csl-citation.json"} </w:instrText>
      </w:r>
      <w:r w:rsidRPr="00506D2B" w:rsidR="00BA6E8A">
        <w:rPr>
          <w:rStyle w:val="normaltextrun"/>
          <w:rFonts w:ascii="Arial" w:hAnsi="Arial" w:cs="Arial" w:eastAsiaTheme="majorEastAsia"/>
          <w:color w:val="000000"/>
          <w:sz w:val="22"/>
          <w:szCs w:val="22"/>
        </w:rPr>
        <w:fldChar w:fldCharType="separate"/>
      </w:r>
      <w:r w:rsidRPr="00025355" w:rsidR="00025355">
        <w:rPr>
          <w:rFonts w:ascii="Arial" w:hAnsi="Arial" w:cs="Arial"/>
          <w:sz w:val="22"/>
          <w:vertAlign w:val="superscript"/>
        </w:rPr>
        <w:t>68</w:t>
      </w:r>
      <w:r w:rsidRPr="00506D2B" w:rsidR="00BA6E8A">
        <w:rPr>
          <w:rStyle w:val="normaltextrun"/>
          <w:rFonts w:ascii="Arial" w:hAnsi="Arial" w:cs="Arial" w:eastAsiaTheme="majorEastAsia"/>
          <w:color w:val="000000"/>
          <w:sz w:val="22"/>
          <w:szCs w:val="22"/>
        </w:rPr>
        <w:fldChar w:fldCharType="end"/>
      </w:r>
      <w:r w:rsidRPr="00506D2B" w:rsidR="00BA6E8A">
        <w:rPr>
          <w:rFonts w:ascii="Arial" w:hAnsi="Arial" w:cs="Arial"/>
          <w:color w:val="000000" w:themeColor="text1"/>
          <w:sz w:val="22"/>
          <w:szCs w:val="22"/>
        </w:rPr>
        <w:t xml:space="preserve"> </w:t>
      </w:r>
      <w:r w:rsidRPr="00506D2B">
        <w:rPr>
          <w:rFonts w:ascii="Arial" w:hAnsi="Arial" w:cs="Arial"/>
          <w:color w:val="000000" w:themeColor="text1"/>
          <w:sz w:val="22"/>
          <w:szCs w:val="22"/>
        </w:rPr>
        <w:t>This is often in conjunction to the fact that advanced biomarker testing and genetic testing remain almost entirely unavailable in rural areas because of their cost and lack of infrastructural support</w:t>
      </w:r>
      <w:r w:rsidR="001843E3">
        <w:rPr>
          <w:rFonts w:ascii="Arial" w:hAnsi="Arial" w:cs="Arial"/>
          <w:color w:val="000000" w:themeColor="text1"/>
          <w:sz w:val="22"/>
          <w:szCs w:val="22"/>
        </w:rPr>
        <w:t>.</w:t>
      </w:r>
      <w:r w:rsidRPr="00506D2B">
        <w:rPr>
          <w:rStyle w:val="normaltextrun"/>
          <w:rFonts w:ascii="Arial" w:hAnsi="Arial" w:cs="Arial" w:eastAsiaTheme="majorEastAsia"/>
          <w:color w:val="000000"/>
          <w:sz w:val="22"/>
          <w:szCs w:val="22"/>
        </w:rPr>
        <w:fldChar w:fldCharType="begin"/>
      </w:r>
      <w:r w:rsidR="00025355">
        <w:rPr>
          <w:rStyle w:val="normaltextrun"/>
          <w:rFonts w:ascii="Arial" w:hAnsi="Arial" w:cs="Arial" w:eastAsiaTheme="majorEastAsia"/>
          <w:color w:val="000000"/>
          <w:sz w:val="22"/>
          <w:szCs w:val="22"/>
        </w:rPr>
        <w:instrText xml:space="preserve"> ADDIN ZOTERO_ITEM CSL_CITATION {"citationID":"9lX3vI6o","properties":{"formattedCitation":"\\super 70\\nosupersub{}","plainCitation":"70","noteIndex":0},"citationItems":[{"id":"7XVybpWP/dnNzB68z","uris":["http://zotero.org/users/14808070/items/MS6BUM7V"],"itemData":{"id":1056,"type":"article-journal","abstract":"When diagnosis of dementia occurs earlier in the disease process, more time is available for treatment aimed at maintaining patient function and delaying decline, and for family education about the disease and its management. Primary care providers often, however, face challenges in making timely diagnoses. Nineteen practitioners in mostly rural areas of a mid-western state were interviewed about their experiences in diagnosis and treatment, to develop a more comprehensive understanding of barriers encountered by providers in non-metropolitan areas. Participants estimated that the time from symptom onset to diagnosis ranged from several months to one year, largely dependant upon family recognition. Limitations in access to consultants and limited or non-existent community support and education resources were major impediments to diagnosis and treatment, respectively. Like their colleagues in more urban communities, denial among family members, or families who were absent or uncooperative, created additional challenges for providers in making and communicating diagnoses and in supporting home-based or institutional care. Conversely, supportive and motivated families played a central role in positive patient care experiences. Participants agreed that support and education services were important for family caregivers, but generally had few resources to offer families, which constrained their ability to provide optimal care. Identifying challenges faced by rural practitioners is essential to planning appropriate interventions for consultative support and educational outreach.","container-title":"Aging &amp; Mental Health","DOI":"10.1080/13607860410001725018","ISSN":"1360-7863","issue":"5","journalAbbreviation":"Aging Ment Health","language":"eng","note":"PMID: 15511740","page":"422-429","source":"PubMed","title":"Rural practitioners' experiences in dementia diagnosis and treatment","volume":"8","author":[{"family":"Teel","given":"C. S."}],"issued":{"date-parts":[["2004",9]]}}}],"schema":"https://github.com/citation-style-language/schema/raw/master/csl-citation.json"} </w:instrText>
      </w:r>
      <w:r w:rsidRPr="00506D2B">
        <w:rPr>
          <w:rStyle w:val="normaltextrun"/>
          <w:rFonts w:ascii="Arial" w:hAnsi="Arial" w:cs="Arial" w:eastAsiaTheme="majorEastAsia"/>
          <w:color w:val="000000"/>
          <w:sz w:val="22"/>
          <w:szCs w:val="22"/>
        </w:rPr>
        <w:fldChar w:fldCharType="separate"/>
      </w:r>
      <w:r w:rsidRPr="00025355" w:rsidR="00025355">
        <w:rPr>
          <w:rFonts w:ascii="Arial" w:hAnsi="Arial" w:cs="Arial"/>
          <w:sz w:val="22"/>
          <w:vertAlign w:val="superscript"/>
        </w:rPr>
        <w:t>70</w:t>
      </w:r>
      <w:r w:rsidRPr="00506D2B">
        <w:rPr>
          <w:rStyle w:val="normaltextrun"/>
          <w:rFonts w:ascii="Arial" w:hAnsi="Arial" w:cs="Arial" w:eastAsiaTheme="majorEastAsia"/>
          <w:color w:val="000000"/>
          <w:sz w:val="22"/>
          <w:szCs w:val="22"/>
        </w:rPr>
        <w:fldChar w:fldCharType="end"/>
      </w:r>
      <w:r w:rsidRPr="00506D2B">
        <w:rPr>
          <w:rFonts w:ascii="Arial" w:hAnsi="Arial" w:cs="Arial"/>
          <w:color w:val="000000" w:themeColor="text1"/>
          <w:sz w:val="22"/>
          <w:szCs w:val="22"/>
        </w:rPr>
        <w:t xml:space="preserve"> In Canada</w:t>
      </w:r>
      <w:r w:rsidRPr="00506D2B" w:rsidR="000F7902">
        <w:rPr>
          <w:rFonts w:ascii="Arial" w:hAnsi="Arial" w:cs="Arial"/>
          <w:color w:val="000000" w:themeColor="text1"/>
          <w:sz w:val="22"/>
          <w:szCs w:val="22"/>
        </w:rPr>
        <w:t xml:space="preserve"> for example</w:t>
      </w:r>
      <w:r w:rsidRPr="00506D2B">
        <w:rPr>
          <w:rFonts w:ascii="Arial" w:hAnsi="Arial" w:cs="Arial"/>
          <w:color w:val="000000" w:themeColor="text1"/>
          <w:sz w:val="22"/>
          <w:szCs w:val="22"/>
        </w:rPr>
        <w:t>, there are extensive wait times between MRI scans and PET imagining, which adversely impacts the patient’s ability to be identified with AD early on</w:t>
      </w:r>
      <w:r w:rsidR="001843E3">
        <w:rPr>
          <w:rFonts w:ascii="Arial" w:hAnsi="Arial" w:cs="Arial"/>
          <w:color w:val="000000" w:themeColor="text1"/>
          <w:sz w:val="22"/>
          <w:szCs w:val="22"/>
        </w:rPr>
        <w:t>.</w:t>
      </w:r>
      <w:r w:rsidRPr="00506D2B">
        <w:rPr>
          <w:rStyle w:val="normaltextrun"/>
          <w:rFonts w:ascii="Arial" w:hAnsi="Arial" w:cs="Arial" w:eastAsiaTheme="majorEastAsia"/>
          <w:color w:val="000000"/>
          <w:sz w:val="22"/>
          <w:szCs w:val="22"/>
        </w:rPr>
        <w:fldChar w:fldCharType="begin"/>
      </w:r>
      <w:r w:rsidR="00025355">
        <w:rPr>
          <w:rStyle w:val="normaltextrun"/>
          <w:rFonts w:ascii="Arial" w:hAnsi="Arial" w:cs="Arial" w:eastAsiaTheme="majorEastAsia"/>
          <w:color w:val="000000"/>
          <w:sz w:val="22"/>
          <w:szCs w:val="22"/>
        </w:rPr>
        <w:instrText xml:space="preserve"> ADDIN ZOTERO_ITEM CSL_CITATION {"citationID":"jUzSz5uk","properties":{"formattedCitation":"\\super 71\\nosupersub{}","plainCitation":"71","noteIndex":0},"citationItems":[{"id":"7XVybpWP/np4R8s2T","uris":["http://zotero.org/users/14808070/items/IC53YDPM"],"itemData":{"id":1058,"type":"article-journal","abstract":"Alzheimer's disease (AD) is a neurodegenerative disorder that accounts for 60%-70% of patients with dementia, and it is estimated that over one million Canadians will be living with dementia by 2030. Disease-modifying therapies (DMTs) targeting the underlying pathophysiology of AD are currently in development. Several models have demonstrated that the potential arrival of Alzheimer's DMTs will most likely overwhelm the already-constrained Canadian healthcare system. Canada does not have a strategy to address the extensive requirements of using DMTs, including providing an early diagnosis of AD, confirming DMT eligibility via amyloid biomarkers, and conducting ongoing treatment monitoring. Thus, a multidisciplinary group of experts involved in AD care in Canada gathered to review (1) the current barriers to diagnosis and management of AD; (2) how existing clinic models, including those used in multiple sclerosis (MS), could be applied to address key barriers in AD; and (3) how to design and implement optimal care pathways in the future. The actions outlined in this review will help clinicians and healthcare systems improve readiness to integrate the use of disease-modifying therapies in Alzheimer's disease, if such therapies are approved in Canada.","container-title":"The Canadian Journal of Neurological Sciences. Le Journal Canadien Des Sciences Neurologiques","DOI":"10.1017/cjn.2023.322","ISSN":"0317-1671","journalAbbreviation":"Can J Neurol Sci","language":"eng","note":"PMID: 38052729","page":"1-9","source":"PubMed","title":"Health System Change for Alzheimer's Disease-Modifying Therapies in Canada: Beginning the Discussion","title-short":"Health System Change for Alzheimer's Disease-Modifying Therapies in Canada","author":[{"family":"Frank","given":"Andrew"},{"family":"Ismail","given":"Zahinoor"},{"family":"Wilson","given":"Melanie"},{"family":"Gauthier","given":"Serge"},{"family":"Verret","given":"Louis"},{"family":"Hsiung","given":"Ging-Yuek Robin"},{"family":"Borrie","given":"Michael"}],"issued":{"date-parts":[["2023",12,6]]}}}],"schema":"https://github.com/citation-style-language/schema/raw/master/csl-citation.json"} </w:instrText>
      </w:r>
      <w:r w:rsidRPr="00506D2B">
        <w:rPr>
          <w:rStyle w:val="normaltextrun"/>
          <w:rFonts w:ascii="Arial" w:hAnsi="Arial" w:cs="Arial" w:eastAsiaTheme="majorEastAsia"/>
          <w:color w:val="000000"/>
          <w:sz w:val="22"/>
          <w:szCs w:val="22"/>
        </w:rPr>
        <w:fldChar w:fldCharType="separate"/>
      </w:r>
      <w:r w:rsidRPr="00025355" w:rsidR="00025355">
        <w:rPr>
          <w:rFonts w:ascii="Arial" w:hAnsi="Arial" w:cs="Arial"/>
          <w:sz w:val="22"/>
          <w:vertAlign w:val="superscript"/>
        </w:rPr>
        <w:t>71</w:t>
      </w:r>
      <w:r w:rsidRPr="00506D2B">
        <w:rPr>
          <w:rStyle w:val="normaltextrun"/>
          <w:rFonts w:ascii="Arial" w:hAnsi="Arial" w:cs="Arial" w:eastAsiaTheme="majorEastAsia"/>
          <w:color w:val="000000"/>
          <w:sz w:val="22"/>
          <w:szCs w:val="22"/>
        </w:rPr>
        <w:fldChar w:fldCharType="end"/>
      </w:r>
    </w:p>
    <w:p w:rsidRPr="00DD3983" w:rsidR="00A0444A" w:rsidP="0053145B" w:rsidRDefault="00A0444A" w14:paraId="5992E9C3" w14:textId="77777777">
      <w:pPr>
        <w:pStyle w:val="Heading3"/>
        <w:spacing w:before="0" w:after="0"/>
        <w:rPr>
          <w:rFonts w:eastAsia="Times New Roman"/>
        </w:rPr>
      </w:pPr>
      <w:r w:rsidRPr="00DD3983">
        <w:rPr>
          <w:rFonts w:eastAsia="Times New Roman"/>
        </w:rPr>
        <w:t>Healthcare System and Provider Factors</w:t>
      </w:r>
    </w:p>
    <w:p w:rsidRPr="00DD3983" w:rsidR="00A0444A" w:rsidP="0053145B" w:rsidRDefault="00A0444A" w14:paraId="741EB50E" w14:textId="2F0B8000">
      <w:pPr>
        <w:pStyle w:val="NormalWeb"/>
        <w:spacing w:before="0" w:beforeAutospacing="0" w:after="0" w:afterAutospacing="0"/>
        <w:jc w:val="both"/>
        <w:textAlignment w:val="baseline"/>
        <w:rPr>
          <w:rFonts w:ascii="Arial" w:hAnsi="Arial" w:cs="Arial"/>
          <w:color w:val="000000" w:themeColor="text1"/>
          <w:sz w:val="22"/>
          <w:szCs w:val="22"/>
        </w:rPr>
      </w:pPr>
      <w:r w:rsidRPr="00506D2B">
        <w:rPr>
          <w:rFonts w:ascii="Arial" w:hAnsi="Arial" w:cs="Arial"/>
          <w:color w:val="000000" w:themeColor="text1"/>
          <w:sz w:val="22"/>
          <w:szCs w:val="22"/>
        </w:rPr>
        <w:t>Primary care practitioners (PCPs) are often the first contact for patients with dementia. However, p</w:t>
      </w:r>
      <w:r w:rsidRPr="00506D2B" w:rsidR="00863BD5">
        <w:rPr>
          <w:rFonts w:ascii="Arial" w:hAnsi="Arial" w:cs="Arial"/>
          <w:color w:val="000000" w:themeColor="text1"/>
          <w:sz w:val="22"/>
          <w:szCs w:val="22"/>
        </w:rPr>
        <w:t>roviders</w:t>
      </w:r>
      <w:r w:rsidRPr="00506D2B">
        <w:rPr>
          <w:rFonts w:ascii="Arial" w:hAnsi="Arial" w:cs="Arial"/>
          <w:color w:val="000000" w:themeColor="text1"/>
          <w:sz w:val="22"/>
          <w:szCs w:val="22"/>
        </w:rPr>
        <w:t xml:space="preserve"> encounter several challenges during assessment</w:t>
      </w:r>
      <w:r w:rsidR="001843E3">
        <w:rPr>
          <w:rFonts w:ascii="Arial" w:hAnsi="Arial" w:cs="Arial"/>
          <w:color w:val="000000" w:themeColor="text1"/>
          <w:sz w:val="22"/>
          <w:szCs w:val="22"/>
        </w:rPr>
        <w:t>.</w:t>
      </w:r>
      <w:r w:rsidRPr="00506D2B">
        <w:rPr>
          <w:rStyle w:val="normaltextrun"/>
          <w:rFonts w:ascii="Arial" w:hAnsi="Arial" w:cs="Arial" w:eastAsiaTheme="majorEastAsia"/>
          <w:color w:val="000000"/>
          <w:sz w:val="22"/>
          <w:szCs w:val="22"/>
        </w:rPr>
        <w:fldChar w:fldCharType="begin"/>
      </w:r>
      <w:r w:rsidR="00025355">
        <w:rPr>
          <w:rStyle w:val="normaltextrun"/>
          <w:rFonts w:ascii="Arial" w:hAnsi="Arial" w:cs="Arial" w:eastAsiaTheme="majorEastAsia"/>
          <w:color w:val="000000"/>
          <w:sz w:val="22"/>
          <w:szCs w:val="22"/>
        </w:rPr>
        <w:instrText xml:space="preserve"> ADDIN ZOTERO_ITEM CSL_CITATION {"citationID":"fKylrbuL","properties":{"formattedCitation":"\\super 70\\nosupersub{}","plainCitation":"70","noteIndex":0},"citationItems":[{"id":"7XVybpWP/dnNzB68z","uris":["http://zotero.org/users/14808070/items/MS6BUM7V"],"itemData":{"id":1056,"type":"article-journal","abstract":"When diagnosis of dementia occurs earlier in the disease process, more time is available for treatment aimed at maintaining patient function and delaying decline, and for family education about the disease and its management. Primary care providers often, however, face challenges in making timely diagnoses. Nineteen practitioners in mostly rural areas of a mid-western state were interviewed about their experiences in diagnosis and treatment, to develop a more comprehensive understanding of barriers encountered by providers in non-metropolitan areas. Participants estimated that the time from symptom onset to diagnosis ranged from several months to one year, largely dependant upon family recognition. Limitations in access to consultants and limited or non-existent community support and education resources were major impediments to diagnosis and treatment, respectively. Like their colleagues in more urban communities, denial among family members, or families who were absent or uncooperative, created additional challenges for providers in making and communicating diagnoses and in supporting home-based or institutional care. Conversely, supportive and motivated families played a central role in positive patient care experiences. Participants agreed that support and education services were important for family caregivers, but generally had few resources to offer families, which constrained their ability to provide optimal care. Identifying challenges faced by rural practitioners is essential to planning appropriate interventions for consultative support and educational outreach.","container-title":"Aging &amp; Mental Health","DOI":"10.1080/13607860410001725018","ISSN":"1360-7863","issue":"5","journalAbbreviation":"Aging Ment Health","language":"eng","note":"PMID: 15511740","page":"422-429","source":"PubMed","title":"Rural practitioners' experiences in dementia diagnosis and treatment","volume":"8","author":[{"family":"Teel","given":"C. S."}],"issued":{"date-parts":[["2004",9]]}}}],"schema":"https://github.com/citation-style-language/schema/raw/master/csl-citation.json"} </w:instrText>
      </w:r>
      <w:r w:rsidRPr="00506D2B">
        <w:rPr>
          <w:rStyle w:val="normaltextrun"/>
          <w:rFonts w:ascii="Arial" w:hAnsi="Arial" w:cs="Arial" w:eastAsiaTheme="majorEastAsia"/>
          <w:color w:val="000000"/>
          <w:sz w:val="22"/>
          <w:szCs w:val="22"/>
        </w:rPr>
        <w:fldChar w:fldCharType="separate"/>
      </w:r>
      <w:r w:rsidRPr="00025355" w:rsidR="00025355">
        <w:rPr>
          <w:rFonts w:ascii="Arial" w:hAnsi="Arial" w:cs="Arial"/>
          <w:sz w:val="22"/>
          <w:vertAlign w:val="superscript"/>
        </w:rPr>
        <w:t>70</w:t>
      </w:r>
      <w:r w:rsidRPr="00506D2B">
        <w:rPr>
          <w:rStyle w:val="normaltextrun"/>
          <w:rFonts w:ascii="Arial" w:hAnsi="Arial" w:cs="Arial" w:eastAsiaTheme="majorEastAsia"/>
          <w:color w:val="000000"/>
          <w:sz w:val="22"/>
          <w:szCs w:val="22"/>
        </w:rPr>
        <w:fldChar w:fldCharType="end"/>
      </w:r>
      <w:r w:rsidRPr="00506D2B">
        <w:rPr>
          <w:rFonts w:ascii="Arial" w:hAnsi="Arial" w:cs="Arial"/>
          <w:color w:val="000000" w:themeColor="text1"/>
          <w:sz w:val="22"/>
          <w:szCs w:val="22"/>
        </w:rPr>
        <w:t xml:space="preserve"> Approximately 15% of general practitioners (GPs) mention time constraints, financial disincentives, and administrative workload as the most important barriers for conducting dementia evaluations. Meanwhile 33% do not find dementia diagnoses clinically actionable and 76% do not have time to adequately deal with emerging dementia cases</w:t>
      </w:r>
      <w:r w:rsidR="001843E3">
        <w:rPr>
          <w:rFonts w:ascii="Arial" w:hAnsi="Arial" w:cs="Arial"/>
          <w:color w:val="000000" w:themeColor="text1"/>
          <w:sz w:val="22"/>
          <w:szCs w:val="22"/>
        </w:rPr>
        <w:t>.</w:t>
      </w:r>
      <w:r w:rsidRPr="00506D2B">
        <w:rPr>
          <w:rFonts w:ascii="Arial" w:hAnsi="Arial" w:cs="Arial"/>
          <w:color w:val="000000" w:themeColor="text1"/>
          <w:sz w:val="22"/>
          <w:szCs w:val="22"/>
        </w:rPr>
        <w:t xml:space="preserve"> </w:t>
      </w:r>
      <w:r w:rsidRPr="00506D2B">
        <w:rPr>
          <w:rStyle w:val="normaltextrun"/>
          <w:rFonts w:ascii="Arial" w:hAnsi="Arial" w:cs="Arial" w:eastAsiaTheme="majorEastAsia"/>
          <w:color w:val="000000"/>
          <w:sz w:val="22"/>
          <w:szCs w:val="22"/>
        </w:rPr>
        <w:fldChar w:fldCharType="begin"/>
      </w:r>
      <w:r w:rsidR="00025355">
        <w:rPr>
          <w:rStyle w:val="normaltextrun"/>
          <w:rFonts w:ascii="Arial" w:hAnsi="Arial" w:cs="Arial" w:eastAsiaTheme="majorEastAsia"/>
          <w:color w:val="000000"/>
          <w:sz w:val="22"/>
          <w:szCs w:val="22"/>
        </w:rPr>
        <w:instrText xml:space="preserve"> ADDIN ZOTERO_ITEM CSL_CITATION {"citationID":"EkraiQnp","properties":{"formattedCitation":"\\super 72\\nosupersub{}","plainCitation":"72","noteIndex":0},"citationItems":[{"id":"7XVybpWP/1fWaBUvL","uris":["http://zotero.org/users/14808070/items/6AVKJ446"],"itemData":{"id":1061,"type":"article-journal","abstract":"Dementia is often underdiagnosed in general practice, which may be based on general practitioners’ (GPs’) knowledge and emotional factors as well as external problems. This study aimed to describe GPs’ attitudes toward early diagnosis of dementia.","container-title":"BMC Family Practice","DOI":"10.1186/s12875-019-0956-1","ISSN":"1471-2296","issue":"1","journalAbbreviation":"BMC Family Practice","page":"65","source":"BioMed Central","title":"General practitioners’ attitudes towards early diagnosis of dementia: a cross-sectional survey","title-short":"General practitioners’ attitudes towards early diagnosis of dementia","volume":"20","author":[{"family":"Giezendanner","given":"Stéphanie"},{"family":"Monsch","given":"Andreas U."},{"family":"Kressig","given":"Reto W."},{"family":"Mueller","given":"Yolanda"},{"family":"Streit","given":"Sven"},{"family":"Essig","given":"Stefan"},{"family":"Zeller","given":"Andreas"},{"family":"Bally","given":"Klaus"}],"issued":{"date-parts":[["2019",5,20]]}}}],"schema":"https://github.com/citation-style-language/schema/raw/master/csl-citation.json"} </w:instrText>
      </w:r>
      <w:r w:rsidRPr="00506D2B">
        <w:rPr>
          <w:rStyle w:val="normaltextrun"/>
          <w:rFonts w:ascii="Arial" w:hAnsi="Arial" w:cs="Arial" w:eastAsiaTheme="majorEastAsia"/>
          <w:color w:val="000000"/>
          <w:sz w:val="22"/>
          <w:szCs w:val="22"/>
        </w:rPr>
        <w:fldChar w:fldCharType="separate"/>
      </w:r>
      <w:r w:rsidRPr="00025355" w:rsidR="00025355">
        <w:rPr>
          <w:rFonts w:ascii="Arial" w:hAnsi="Arial" w:cs="Arial"/>
          <w:sz w:val="22"/>
          <w:vertAlign w:val="superscript"/>
        </w:rPr>
        <w:t>72</w:t>
      </w:r>
      <w:r w:rsidRPr="00506D2B">
        <w:rPr>
          <w:rStyle w:val="normaltextrun"/>
          <w:rFonts w:ascii="Arial" w:hAnsi="Arial" w:cs="Arial" w:eastAsiaTheme="majorEastAsia"/>
          <w:color w:val="000000"/>
          <w:sz w:val="22"/>
          <w:szCs w:val="22"/>
        </w:rPr>
        <w:fldChar w:fldCharType="end"/>
      </w:r>
    </w:p>
    <w:p w:rsidRPr="00DD3983" w:rsidR="00A0444A" w:rsidP="006618CC" w:rsidRDefault="00A0444A" w14:paraId="0CBFC065" w14:textId="28C1D4C0">
      <w:pPr>
        <w:pStyle w:val="paragraph"/>
        <w:spacing w:before="0" w:beforeAutospacing="0" w:after="0" w:afterAutospacing="0"/>
        <w:jc w:val="both"/>
        <w:textAlignment w:val="baseline"/>
        <w:rPr>
          <w:rFonts w:ascii="Arial" w:hAnsi="Arial" w:cs="Arial"/>
          <w:sz w:val="22"/>
          <w:szCs w:val="22"/>
        </w:rPr>
      </w:pPr>
      <w:r w:rsidRPr="00506D2B">
        <w:rPr>
          <w:rFonts w:ascii="Arial" w:hAnsi="Arial" w:cs="Arial"/>
          <w:color w:val="000000" w:themeColor="text1"/>
          <w:sz w:val="22"/>
          <w:szCs w:val="22"/>
        </w:rPr>
        <w:t>Research has shown that GPs tend to manage pressing issues immediately rather than look for early signs of dementia. Some GPs operate under the assumption that it is reasonable to postpone dealing with mild cognitive decline until it becomes a much bigger issue</w:t>
      </w:r>
      <w:r w:rsidR="001843E3">
        <w:rPr>
          <w:rFonts w:ascii="Arial" w:hAnsi="Arial" w:cs="Arial"/>
          <w:color w:val="000000" w:themeColor="text1"/>
          <w:sz w:val="22"/>
          <w:szCs w:val="22"/>
        </w:rPr>
        <w:t>.</w:t>
      </w:r>
      <w:r w:rsidRPr="00506D2B">
        <w:rPr>
          <w:rStyle w:val="normaltextrun"/>
          <w:rFonts w:ascii="Arial" w:hAnsi="Arial" w:cs="Arial" w:eastAsiaTheme="majorEastAsia"/>
          <w:color w:val="000000"/>
          <w:sz w:val="22"/>
          <w:szCs w:val="22"/>
        </w:rPr>
        <w:fldChar w:fldCharType="begin"/>
      </w:r>
      <w:r w:rsidR="00025355">
        <w:rPr>
          <w:rStyle w:val="normaltextrun"/>
          <w:rFonts w:ascii="Arial" w:hAnsi="Arial" w:cs="Arial" w:eastAsiaTheme="majorEastAsia"/>
          <w:color w:val="000000"/>
          <w:sz w:val="22"/>
          <w:szCs w:val="22"/>
        </w:rPr>
        <w:instrText xml:space="preserve"> ADDIN ZOTERO_ITEM CSL_CITATION {"citationID":"Dhi1bGBz","properties":{"formattedCitation":"\\super 73\\nosupersub{}","plainCitation":"73","noteIndex":0},"citationItems":[{"id":"7XVybpWP/Ijy0a6Ij","uris":["http://zotero.org/users/14808070/items/9CRS522U"],"itemData":{"id":1064,"type":"article-journal","abstract":"Experts from eight European countries (Belgium, France, The Netherlands, Ireland, Italy, Portugal, Spain and the United Kingdom) and the disciplines of clinical psychology, general practice, geriatric medicine, old age psychiatry, medical sociology, nursing and voluntary body organisation met in 2003 to explore obstacles to recognition of and response to dementia in general practice within Europe. A modified focus group methodology was used in this exploratory process. Groups were conducted over a two-day period, with five sessions lasting 1-1.5 hours each. An adapted nominal group method was used to record themes arising from the group discussion, and these themes were used in a grounded theory approach to generate explanations for delayed recognition of and response to dementia. The overarching theme that arose from the focus groups was movement, which had three different expressions. These were: population movement and its consequences for localities, services and professional experience; the journey of the person with dementia along the disease process; and the referral pathway to access services and support. Change is the core issue in dementia care, with multiple pathways of change that need to be understood at clinical and organisational levels. Practitioners and people with dementia are engaged in managing emotional, social and physical risks, making explicit risk management a potentially important component of dementia care. The boundary between generalist and specialist services is a particular problem, with great potential for dysfunctionality. Stigma and ageism are variably distributed phenomena both within and between countries.","container-title":"Aging &amp; Mental Health","DOI":"10.1080/13607860412331323791","ISSN":"1360-7863","issue":"1","journalAbbreviation":"Aging Ment Health","language":"eng","note":"PMID: 15841826","page":"1-6","source":"PubMed","title":"Understanding obstacles to the recognition of and response to dementia in different European countries: a modified focus group approach using multinational, multi-disciplinary expert groups","title-short":"Understanding obstacles to the recognition of and response to dementia in different European countries","volume":"9","author":[{"family":"Iliffe","given":"S."},{"family":"De Lepeleire","given":"J."},{"family":"Van Hout","given":"H."},{"family":"Kenny","given":"G."},{"family":"Lewis","given":"A."},{"family":"Vernooij-Dassen","given":"M."},{"literal":"DIADEM Group"}],"issued":{"date-parts":[["2005",1]]}}}],"schema":"https://github.com/citation-style-language/schema/raw/master/csl-citation.json"} </w:instrText>
      </w:r>
      <w:r w:rsidRPr="00506D2B">
        <w:rPr>
          <w:rStyle w:val="normaltextrun"/>
          <w:rFonts w:ascii="Arial" w:hAnsi="Arial" w:cs="Arial" w:eastAsiaTheme="majorEastAsia"/>
          <w:color w:val="000000"/>
          <w:sz w:val="22"/>
          <w:szCs w:val="22"/>
        </w:rPr>
        <w:fldChar w:fldCharType="separate"/>
      </w:r>
      <w:r w:rsidRPr="00025355" w:rsidR="00025355">
        <w:rPr>
          <w:rFonts w:ascii="Arial" w:hAnsi="Arial" w:cs="Arial"/>
          <w:sz w:val="22"/>
          <w:vertAlign w:val="superscript"/>
        </w:rPr>
        <w:t>73</w:t>
      </w:r>
      <w:r w:rsidRPr="00506D2B">
        <w:rPr>
          <w:rStyle w:val="normaltextrun"/>
          <w:rFonts w:ascii="Arial" w:hAnsi="Arial" w:cs="Arial" w:eastAsiaTheme="majorEastAsia"/>
          <w:color w:val="000000"/>
          <w:sz w:val="22"/>
          <w:szCs w:val="22"/>
        </w:rPr>
        <w:fldChar w:fldCharType="end"/>
      </w:r>
      <w:r w:rsidRPr="00506D2B">
        <w:rPr>
          <w:rStyle w:val="normaltextrun"/>
          <w:rFonts w:ascii="Arial" w:hAnsi="Arial" w:cs="Arial" w:eastAsiaTheme="majorEastAsia"/>
          <w:color w:val="000000"/>
          <w:sz w:val="22"/>
          <w:szCs w:val="22"/>
        </w:rPr>
        <w:t xml:space="preserve"> </w:t>
      </w:r>
      <w:r w:rsidRPr="00506D2B">
        <w:rPr>
          <w:rFonts w:ascii="Arial" w:hAnsi="Arial" w:cs="Arial"/>
          <w:color w:val="000000" w:themeColor="text1"/>
          <w:sz w:val="22"/>
          <w:szCs w:val="22"/>
        </w:rPr>
        <w:t>Such a mindset is intensified by the European healthcare systems which also suffer from heterogeneity in reimbursement schemes and limited availability of sophisticated diagnostic tools, which only increases the lack of care</w:t>
      </w:r>
      <w:r w:rsidR="001843E3">
        <w:rPr>
          <w:rFonts w:ascii="Arial" w:hAnsi="Arial" w:cs="Arial"/>
          <w:color w:val="000000" w:themeColor="text1"/>
          <w:sz w:val="22"/>
          <w:szCs w:val="22"/>
        </w:rPr>
        <w:t>.</w:t>
      </w:r>
      <w:r w:rsidRPr="00506D2B">
        <w:rPr>
          <w:rStyle w:val="normaltextrun"/>
          <w:rFonts w:ascii="Arial" w:hAnsi="Arial" w:cs="Arial" w:eastAsiaTheme="majorEastAsia"/>
          <w:color w:val="000000"/>
          <w:sz w:val="22"/>
          <w:szCs w:val="22"/>
        </w:rPr>
        <w:fldChar w:fldCharType="begin"/>
      </w:r>
      <w:r w:rsidR="00025355">
        <w:rPr>
          <w:rStyle w:val="normaltextrun"/>
          <w:rFonts w:ascii="Arial" w:hAnsi="Arial" w:cs="Arial" w:eastAsiaTheme="majorEastAsia"/>
          <w:color w:val="000000"/>
          <w:sz w:val="22"/>
          <w:szCs w:val="22"/>
        </w:rPr>
        <w:instrText xml:space="preserve"> ADDIN ZOTERO_ITEM CSL_CITATION {"citationID":"QLO02Nec","properties":{"formattedCitation":"\\super 73\\nosupersub{}","plainCitation":"73","noteIndex":0},"citationItems":[{"id":"7XVybpWP/Ijy0a6Ij","uris":["http://zotero.org/users/14808070/items/9CRS522U"],"itemData":{"id":1064,"type":"article-journal","abstract":"Experts from eight European countries (Belgium, France, The Netherlands, Ireland, Italy, Portugal, Spain and the United Kingdom) and the disciplines of clinical psychology, general practice, geriatric medicine, old age psychiatry, medical sociology, nursing and voluntary body organisation met in 2003 to explore obstacles to recognition of and response to dementia in general practice within Europe. A modified focus group methodology was used in this exploratory process. Groups were conducted over a two-day period, with five sessions lasting 1-1.5 hours each. An adapted nominal group method was used to record themes arising from the group discussion, and these themes were used in a grounded theory approach to generate explanations for delayed recognition of and response to dementia. The overarching theme that arose from the focus groups was movement, which had three different expressions. These were: population movement and its consequences for localities, services and professional experience; the journey of the person with dementia along the disease process; and the referral pathway to access services and support. Change is the core issue in dementia care, with multiple pathways of change that need to be understood at clinical and organisational levels. Practitioners and people with dementia are engaged in managing emotional, social and physical risks, making explicit risk management a potentially important component of dementia care. The boundary between generalist and specialist services is a particular problem, with great potential for dysfunctionality. Stigma and ageism are variably distributed phenomena both within and between countries.","container-title":"Aging &amp; Mental Health","DOI":"10.1080/13607860412331323791","ISSN":"1360-7863","issue":"1","journalAbbreviation":"Aging Ment Health","language":"eng","note":"PMID: 15841826","page":"1-6","source":"PubMed","title":"Understanding obstacles to the recognition of and response to dementia in different European countries: a modified focus group approach using multinational, multi-disciplinary expert groups","title-short":"Understanding obstacles to the recognition of and response to dementia in different European countries","volume":"9","author":[{"family":"Iliffe","given":"S."},{"family":"De Lepeleire","given":"J."},{"family":"Van Hout","given":"H."},{"family":"Kenny","given":"G."},{"family":"Lewis","given":"A."},{"family":"Vernooij-Dassen","given":"M."},{"literal":"DIADEM Group"}],"issued":{"date-parts":[["2005",1]]}}}],"schema":"https://github.com/citation-style-language/schema/raw/master/csl-citation.json"} </w:instrText>
      </w:r>
      <w:r w:rsidRPr="00506D2B">
        <w:rPr>
          <w:rStyle w:val="normaltextrun"/>
          <w:rFonts w:ascii="Arial" w:hAnsi="Arial" w:cs="Arial" w:eastAsiaTheme="majorEastAsia"/>
          <w:color w:val="000000"/>
          <w:sz w:val="22"/>
          <w:szCs w:val="22"/>
        </w:rPr>
        <w:fldChar w:fldCharType="separate"/>
      </w:r>
      <w:r w:rsidRPr="00025355" w:rsidR="00025355">
        <w:rPr>
          <w:rFonts w:ascii="Arial" w:hAnsi="Arial" w:cs="Arial"/>
          <w:sz w:val="22"/>
          <w:vertAlign w:val="superscript"/>
        </w:rPr>
        <w:t>73</w:t>
      </w:r>
      <w:r w:rsidRPr="00506D2B">
        <w:rPr>
          <w:rStyle w:val="normaltextrun"/>
          <w:rFonts w:ascii="Arial" w:hAnsi="Arial" w:cs="Arial" w:eastAsiaTheme="majorEastAsia"/>
          <w:color w:val="000000"/>
          <w:sz w:val="22"/>
          <w:szCs w:val="22"/>
        </w:rPr>
        <w:fldChar w:fldCharType="end"/>
      </w:r>
      <w:r w:rsidR="00AE230F">
        <w:rPr>
          <w:rStyle w:val="normaltextrun"/>
          <w:rFonts w:ascii="Arial" w:hAnsi="Arial" w:cs="Arial" w:eastAsiaTheme="majorEastAsia"/>
          <w:color w:val="000000"/>
          <w:sz w:val="22"/>
          <w:szCs w:val="22"/>
        </w:rPr>
        <w:t xml:space="preserve"> </w:t>
      </w:r>
      <w:r w:rsidRPr="00506D2B">
        <w:rPr>
          <w:rFonts w:ascii="Arial" w:hAnsi="Arial" w:cs="Arial"/>
          <w:color w:val="000000" w:themeColor="text1"/>
          <w:sz w:val="22"/>
          <w:szCs w:val="22"/>
        </w:rPr>
        <w:t xml:space="preserve">Across </w:t>
      </w:r>
      <w:r w:rsidRPr="00506D2B" w:rsidR="00D95030">
        <w:rPr>
          <w:rFonts w:ascii="Arial" w:hAnsi="Arial" w:cs="Arial"/>
          <w:color w:val="000000" w:themeColor="text1"/>
          <w:sz w:val="22"/>
          <w:szCs w:val="22"/>
        </w:rPr>
        <w:t>diverse</w:t>
      </w:r>
      <w:r w:rsidRPr="00506D2B">
        <w:rPr>
          <w:rFonts w:ascii="Arial" w:hAnsi="Arial" w:cs="Arial"/>
          <w:color w:val="000000" w:themeColor="text1"/>
          <w:sz w:val="22"/>
          <w:szCs w:val="22"/>
        </w:rPr>
        <w:t xml:space="preserve"> regions, regulatory guidelines for diagnosis exhibit a lack of uniformity. The NIA-AA guidelines which are commonplace among high income economies have limited use in the lower mid-income economies due to their expense and infrastructural deficiencies.</w:t>
      </w:r>
    </w:p>
    <w:p w:rsidRPr="00DD3983" w:rsidR="00A0444A" w:rsidP="006618CC" w:rsidRDefault="00A0444A" w14:paraId="3344AAC6" w14:textId="5B92B1F0">
      <w:pPr>
        <w:pStyle w:val="NormalWeb"/>
        <w:spacing w:before="240" w:beforeAutospacing="0" w:after="240" w:afterAutospacing="0"/>
        <w:jc w:val="both"/>
        <w:textAlignment w:val="baseline"/>
        <w:rPr>
          <w:rFonts w:ascii="Arial" w:hAnsi="Arial" w:cs="Arial"/>
          <w:color w:val="000000" w:themeColor="text1"/>
          <w:sz w:val="22"/>
          <w:szCs w:val="22"/>
        </w:rPr>
      </w:pPr>
      <w:r w:rsidRPr="00506D2B">
        <w:rPr>
          <w:rFonts w:ascii="Arial" w:hAnsi="Arial" w:cs="Arial"/>
          <w:color w:val="000000" w:themeColor="text1"/>
          <w:sz w:val="22"/>
          <w:szCs w:val="22"/>
        </w:rPr>
        <w:t>Difficult ethical issues exacerbate</w:t>
      </w:r>
      <w:r w:rsidRPr="00506D2B">
        <w:rPr>
          <w:rFonts w:ascii="Arial" w:hAnsi="Arial" w:cs="Arial"/>
          <w:color w:val="FF0000"/>
          <w:sz w:val="22"/>
          <w:szCs w:val="22"/>
        </w:rPr>
        <w:t xml:space="preserve"> </w:t>
      </w:r>
      <w:r w:rsidRPr="00506D2B">
        <w:rPr>
          <w:rFonts w:ascii="Arial" w:hAnsi="Arial" w:cs="Arial"/>
          <w:color w:val="000000" w:themeColor="text1"/>
          <w:sz w:val="22"/>
          <w:szCs w:val="22"/>
        </w:rPr>
        <w:t xml:space="preserve">already complicated challenges of diagnosis; doctors frequently </w:t>
      </w:r>
      <w:r w:rsidRPr="00506D2B" w:rsidR="00DB6844">
        <w:rPr>
          <w:rFonts w:ascii="Arial" w:hAnsi="Arial" w:cs="Arial"/>
          <w:color w:val="000000" w:themeColor="text1"/>
          <w:sz w:val="22"/>
          <w:szCs w:val="22"/>
        </w:rPr>
        <w:t>must</w:t>
      </w:r>
      <w:r w:rsidRPr="00506D2B">
        <w:rPr>
          <w:rFonts w:ascii="Arial" w:hAnsi="Arial" w:cs="Arial"/>
          <w:color w:val="000000" w:themeColor="text1"/>
          <w:sz w:val="22"/>
          <w:szCs w:val="22"/>
        </w:rPr>
        <w:t xml:space="preserve"> weigh patient self-determination against the necessities of the carers, especially in the case when one side is not willing to accept the reality of the situation. Medication decisions present additional challenges with the GPs caution about providing new forms of treatment for patients suffering from dementia because they were not certain of their usefulness due to the benefits and clarity of the diagnosis</w:t>
      </w:r>
      <w:r w:rsidR="001843E3">
        <w:rPr>
          <w:rFonts w:ascii="Arial" w:hAnsi="Arial" w:cs="Arial"/>
          <w:color w:val="000000" w:themeColor="text1"/>
          <w:sz w:val="22"/>
          <w:szCs w:val="22"/>
        </w:rPr>
        <w:t>.</w:t>
      </w:r>
      <w:r w:rsidRPr="00506D2B">
        <w:rPr>
          <w:rStyle w:val="normaltextrun"/>
          <w:rFonts w:ascii="Arial" w:hAnsi="Arial" w:cs="Arial" w:eastAsiaTheme="majorEastAsia"/>
          <w:color w:val="000000"/>
          <w:sz w:val="22"/>
          <w:szCs w:val="22"/>
        </w:rPr>
        <w:fldChar w:fldCharType="begin"/>
      </w:r>
      <w:r w:rsidR="00025355">
        <w:rPr>
          <w:rStyle w:val="normaltextrun"/>
          <w:rFonts w:ascii="Arial" w:hAnsi="Arial" w:cs="Arial" w:eastAsiaTheme="majorEastAsia"/>
          <w:color w:val="000000"/>
          <w:sz w:val="22"/>
          <w:szCs w:val="22"/>
        </w:rPr>
        <w:instrText xml:space="preserve"> ADDIN ZOTERO_ITEM CSL_CITATION {"citationID":"x1XDFfiy","properties":{"formattedCitation":"\\super 73\\nosupersub{}","plainCitation":"73","noteIndex":0},"citationItems":[{"id":"7XVybpWP/Ijy0a6Ij","uris":["http://zotero.org/users/14808070/items/9CRS522U"],"itemData":{"id":1064,"type":"article-journal","abstract":"Experts from eight European countries (Belgium, France, The Netherlands, Ireland, Italy, Portugal, Spain and the United Kingdom) and the disciplines of clinical psychology, general practice, geriatric medicine, old age psychiatry, medical sociology, nursing and voluntary body organisation met in 2003 to explore obstacles to recognition of and response to dementia in general practice within Europe. A modified focus group methodology was used in this exploratory process. Groups were conducted over a two-day period, with five sessions lasting 1-1.5 hours each. An adapted nominal group method was used to record themes arising from the group discussion, and these themes were used in a grounded theory approach to generate explanations for delayed recognition of and response to dementia. The overarching theme that arose from the focus groups was movement, which had three different expressions. These were: population movement and its consequences for localities, services and professional experience; the journey of the person with dementia along the disease process; and the referral pathway to access services and support. Change is the core issue in dementia care, with multiple pathways of change that need to be understood at clinical and organisational levels. Practitioners and people with dementia are engaged in managing emotional, social and physical risks, making explicit risk management a potentially important component of dementia care. The boundary between generalist and specialist services is a particular problem, with great potential for dysfunctionality. Stigma and ageism are variably distributed phenomena both within and between countries.","container-title":"Aging &amp; Mental Health","DOI":"10.1080/13607860412331323791","ISSN":"1360-7863","issue":"1","journalAbbreviation":"Aging Ment Health","language":"eng","note":"PMID: 15841826","page":"1-6","source":"PubMed","title":"Understanding obstacles to the recognition of and response to dementia in different European countries: a modified focus group approach using multinational, multi-disciplinary expert groups","title-short":"Understanding obstacles to the recognition of and response to dementia in different European countries","volume":"9","author":[{"family":"Iliffe","given":"S."},{"family":"De Lepeleire","given":"J."},{"family":"Van Hout","given":"H."},{"family":"Kenny","given":"G."},{"family":"Lewis","given":"A."},{"family":"Vernooij-Dassen","given":"M."},{"literal":"DIADEM Group"}],"issued":{"date-parts":[["2005",1]]}}}],"schema":"https://github.com/citation-style-language/schema/raw/master/csl-citation.json"} </w:instrText>
      </w:r>
      <w:r w:rsidRPr="00506D2B">
        <w:rPr>
          <w:rStyle w:val="normaltextrun"/>
          <w:rFonts w:ascii="Arial" w:hAnsi="Arial" w:cs="Arial" w:eastAsiaTheme="majorEastAsia"/>
          <w:color w:val="000000"/>
          <w:sz w:val="22"/>
          <w:szCs w:val="22"/>
        </w:rPr>
        <w:fldChar w:fldCharType="separate"/>
      </w:r>
      <w:r w:rsidRPr="00025355" w:rsidR="00025355">
        <w:rPr>
          <w:rFonts w:ascii="Arial" w:hAnsi="Arial" w:cs="Arial"/>
          <w:sz w:val="22"/>
          <w:vertAlign w:val="superscript"/>
        </w:rPr>
        <w:t>73</w:t>
      </w:r>
      <w:r w:rsidRPr="00506D2B">
        <w:rPr>
          <w:rStyle w:val="normaltextrun"/>
          <w:rFonts w:ascii="Arial" w:hAnsi="Arial" w:cs="Arial" w:eastAsiaTheme="majorEastAsia"/>
          <w:color w:val="000000"/>
          <w:sz w:val="22"/>
          <w:szCs w:val="22"/>
        </w:rPr>
        <w:fldChar w:fldCharType="end"/>
      </w:r>
    </w:p>
    <w:p w:rsidRPr="00DD3983" w:rsidR="008F12CA" w:rsidP="0053145B" w:rsidRDefault="008F12CA" w14:paraId="6357BD03" w14:textId="2ACC498B">
      <w:pPr>
        <w:pStyle w:val="Heading3"/>
        <w:spacing w:before="0" w:after="0"/>
        <w:rPr>
          <w:rFonts w:eastAsia="Times New Roman" w:cs="Arial"/>
          <w:b/>
          <w:color w:val="000000"/>
          <w:kern w:val="0"/>
          <w:sz w:val="22"/>
          <w:szCs w:val="22"/>
          <w14:ligatures w14:val="none"/>
        </w:rPr>
      </w:pPr>
      <w:r w:rsidRPr="00DD3983">
        <w:rPr>
          <w:rFonts w:eastAsia="Times New Roman"/>
        </w:rPr>
        <w:t>Cultural</w:t>
      </w:r>
      <w:r w:rsidRPr="00DD3983" w:rsidR="00CD77BB">
        <w:rPr>
          <w:rFonts w:eastAsia="Times New Roman" w:cs="Arial"/>
          <w:b/>
          <w:color w:val="000000"/>
          <w:kern w:val="0"/>
          <w:sz w:val="22"/>
          <w:szCs w:val="22"/>
          <w14:ligatures w14:val="none"/>
        </w:rPr>
        <w:t xml:space="preserve">, </w:t>
      </w:r>
      <w:r w:rsidRPr="0072712E" w:rsidR="00CD77BB">
        <w:t>Education,</w:t>
      </w:r>
      <w:r w:rsidRPr="0072712E">
        <w:t xml:space="preserve"> and Social Factors</w:t>
      </w:r>
    </w:p>
    <w:p w:rsidRPr="00DD3983" w:rsidR="008F12CA" w:rsidP="0053145B" w:rsidRDefault="008F12CA" w14:paraId="37FAF6D4" w14:textId="7D19DB4B">
      <w:pPr>
        <w:pStyle w:val="NormalWeb"/>
        <w:spacing w:before="0" w:beforeAutospacing="0" w:after="0" w:afterAutospacing="0"/>
        <w:jc w:val="both"/>
        <w:textAlignment w:val="baseline"/>
        <w:rPr>
          <w:rFonts w:ascii="Arial" w:hAnsi="Arial" w:cs="Arial"/>
          <w:color w:val="000000" w:themeColor="text1"/>
          <w:sz w:val="22"/>
          <w:szCs w:val="22"/>
        </w:rPr>
      </w:pPr>
      <w:r w:rsidRPr="00DD3983">
        <w:rPr>
          <w:rFonts w:ascii="Arial" w:hAnsi="Arial" w:cs="Arial"/>
          <w:color w:val="000000" w:themeColor="text1"/>
          <w:sz w:val="22"/>
          <w:szCs w:val="22"/>
        </w:rPr>
        <w:t xml:space="preserve">The diagnostic experience </w:t>
      </w:r>
      <w:r w:rsidRPr="00DD3983" w:rsidR="00D4265A">
        <w:rPr>
          <w:rFonts w:ascii="Arial" w:hAnsi="Arial" w:cs="Arial"/>
          <w:color w:val="000000" w:themeColor="text1"/>
          <w:sz w:val="22"/>
          <w:szCs w:val="22"/>
        </w:rPr>
        <w:t>of</w:t>
      </w:r>
      <w:r w:rsidRPr="00DD3983">
        <w:rPr>
          <w:rFonts w:ascii="Arial" w:hAnsi="Arial" w:cs="Arial"/>
          <w:color w:val="000000" w:themeColor="text1"/>
          <w:sz w:val="22"/>
          <w:szCs w:val="22"/>
        </w:rPr>
        <w:t xml:space="preserve"> dementia is influenced greatly by cultural sociological factors. Within American </w:t>
      </w:r>
      <w:r w:rsidRPr="00506D2B">
        <w:rPr>
          <w:rFonts w:ascii="Arial" w:hAnsi="Arial" w:cs="Arial"/>
          <w:color w:val="000000" w:themeColor="text1"/>
          <w:sz w:val="22"/>
          <w:szCs w:val="22"/>
        </w:rPr>
        <w:t>communities of Asian, Native Hawaiian, and Pacific Islander ancestry, awareness of A</w:t>
      </w:r>
      <w:r w:rsidR="00702D13">
        <w:rPr>
          <w:rFonts w:ascii="Arial" w:hAnsi="Arial" w:cs="Arial"/>
          <w:color w:val="000000" w:themeColor="text1"/>
          <w:sz w:val="22"/>
          <w:szCs w:val="22"/>
        </w:rPr>
        <w:t>D</w:t>
      </w:r>
      <w:r w:rsidRPr="00506D2B">
        <w:rPr>
          <w:rFonts w:ascii="Arial" w:hAnsi="Arial" w:cs="Arial"/>
          <w:color w:val="000000" w:themeColor="text1"/>
          <w:sz w:val="22"/>
          <w:szCs w:val="22"/>
        </w:rPr>
        <w:t xml:space="preserve"> and the dementias associated is low, contributing to the </w:t>
      </w:r>
      <w:r w:rsidRPr="00506D2B" w:rsidR="002618D8">
        <w:rPr>
          <w:rFonts w:ascii="Arial" w:hAnsi="Arial" w:cs="Arial"/>
          <w:color w:val="000000" w:themeColor="text1"/>
          <w:sz w:val="22"/>
          <w:szCs w:val="22"/>
        </w:rPr>
        <w:t>ambiguity</w:t>
      </w:r>
      <w:r w:rsidRPr="00506D2B">
        <w:rPr>
          <w:rFonts w:ascii="Arial" w:hAnsi="Arial" w:cs="Arial"/>
          <w:color w:val="000000" w:themeColor="text1"/>
          <w:sz w:val="22"/>
          <w:szCs w:val="22"/>
        </w:rPr>
        <w:t xml:space="preserve"> between pathological decline and normal aging</w:t>
      </w:r>
      <w:r w:rsidR="001843E3">
        <w:rPr>
          <w:rFonts w:ascii="Arial" w:hAnsi="Arial" w:cs="Arial"/>
          <w:color w:val="000000" w:themeColor="text1"/>
          <w:sz w:val="22"/>
          <w:szCs w:val="22"/>
        </w:rPr>
        <w:t>.</w:t>
      </w:r>
      <w:r w:rsidRPr="00506D2B">
        <w:rPr>
          <w:rStyle w:val="normaltextrun"/>
          <w:rFonts w:ascii="Arial" w:hAnsi="Arial" w:cs="Arial" w:eastAsiaTheme="majorEastAsia"/>
          <w:color w:val="000000"/>
          <w:sz w:val="22"/>
          <w:szCs w:val="22"/>
        </w:rPr>
        <w:fldChar w:fldCharType="begin"/>
      </w:r>
      <w:r w:rsidR="00025355">
        <w:rPr>
          <w:rStyle w:val="normaltextrun"/>
          <w:rFonts w:ascii="Arial" w:hAnsi="Arial" w:cs="Arial" w:eastAsiaTheme="majorEastAsia"/>
          <w:color w:val="000000"/>
          <w:sz w:val="22"/>
          <w:szCs w:val="22"/>
        </w:rPr>
        <w:instrText xml:space="preserve"> ADDIN ZOTERO_ITEM CSL_CITATION {"citationID":"lk3JLsk6","properties":{"formattedCitation":"\\super 74\\nosupersub{}","plainCitation":"74","noteIndex":0},"citationItems":[{"id":"7XVybpWP/3A8KLjeW","uris":["http://zotero.org/users/14808070/items/HKX7BSSJ"],"itemData":{"id":1073,"type":"article-journal","abstract":"Alzheimer's disease and related dementias (AD/ADRD) disparities exist in the rapidly growing and extremely heterogeneous Asian American and Native Hawaiian and Pacific Islander (NH/PI) ageing populations in the United States. Limited community-clinical resources supporting culturally competent and timely diagnosis exacerbate barriers to existing care services in these populations. Community-based participatory research or community-engaged research are proven community-academic research approaches that can support the development and implementation of community-focused programmes to maximise community benefit. The NYU Center for the Study of Asian American Health engaged our national and local community partners to gain a deeper understanding of AD/ADRD in this diverse and growing population, to develop a strategic community-engaged research agenda to understand, address and reduce AD/ADRD disparities among Asian American and NH/PI communities. Findings from an initial scoping review identified significant research gaps. We conducted a series of key informant interviews (n = 11) and a modified Delphi survey (n = 14) with Asian American and NH/PI community leaders and older adult service providers followed by a facilitated group discussion of survey findings to gain consensus on key priority research areas identified in the literature and to determine culturally and contextually appropriate approaches to support AD/ADRD prevention, early identification and treatment in Asian American and NH/PI communities. Future research and health education should focus on raising Asian American and NH/PI basic individual- and community-level awareness about AD/ADRD and leveraging existing community assets to integrate effective engagement strategies to access AD/ADRD services within the healthcare system.","container-title":"Health &amp; Social Care in the Community","DOI":"10.1111/hsc.14025","ISSN":"1365-2524","issue":"6","journalAbbreviation":"Health Soc Care Community","language":"eng","note":"PMID: 36102595\nPMCID: PMC10069713","page":"e5946-e5958","source":"PubMed","title":"Exploring community knowledge, attitudes and perceptions of Alzheimer's Disease/Alzheimer's Disease-Related Dementias and healthy ageing in Asian American, Native Hawaiian and Pacific Islanders","volume":"30","author":[{"family":"Wong","given":"Jennifer A."},{"family":"Min","given":"Deborah K."},{"family":"Kranick","given":"Julie"},{"family":"Ushasri","given":"Harini"},{"family":"Trinh-Shevrin","given":"Chau"},{"family":"Kwon","given":"Simona C."}],"issued":{"date-parts":[["2022",11]]}}}],"schema":"https://github.com/citation-style-language/schema/raw/master/csl-citation.json"} </w:instrText>
      </w:r>
      <w:r w:rsidRPr="00506D2B">
        <w:rPr>
          <w:rStyle w:val="normaltextrun"/>
          <w:rFonts w:ascii="Arial" w:hAnsi="Arial" w:cs="Arial" w:eastAsiaTheme="majorEastAsia"/>
          <w:color w:val="000000"/>
          <w:sz w:val="22"/>
          <w:szCs w:val="22"/>
        </w:rPr>
        <w:fldChar w:fldCharType="separate"/>
      </w:r>
      <w:r w:rsidRPr="00025355" w:rsidR="00025355">
        <w:rPr>
          <w:rFonts w:ascii="Arial" w:hAnsi="Arial" w:cs="Arial"/>
          <w:sz w:val="22"/>
          <w:vertAlign w:val="superscript"/>
        </w:rPr>
        <w:t>74</w:t>
      </w:r>
      <w:r w:rsidRPr="00506D2B">
        <w:rPr>
          <w:rStyle w:val="normaltextrun"/>
          <w:rFonts w:ascii="Arial" w:hAnsi="Arial" w:cs="Arial" w:eastAsiaTheme="majorEastAsia"/>
          <w:color w:val="000000"/>
          <w:sz w:val="22"/>
          <w:szCs w:val="22"/>
        </w:rPr>
        <w:fldChar w:fldCharType="end"/>
      </w:r>
      <w:r w:rsidRPr="00506D2B">
        <w:rPr>
          <w:rStyle w:val="normaltextrun"/>
          <w:rFonts w:ascii="Arial" w:hAnsi="Arial" w:cs="Arial" w:eastAsiaTheme="majorEastAsia"/>
          <w:color w:val="000000"/>
          <w:sz w:val="22"/>
          <w:szCs w:val="22"/>
        </w:rPr>
        <w:t xml:space="preserve"> </w:t>
      </w:r>
      <w:r w:rsidRPr="00506D2B">
        <w:rPr>
          <w:rFonts w:ascii="Arial" w:hAnsi="Arial" w:cs="Arial"/>
          <w:color w:val="000000" w:themeColor="text1"/>
          <w:sz w:val="22"/>
          <w:szCs w:val="22"/>
        </w:rPr>
        <w:t xml:space="preserve">Very much like the ethnic </w:t>
      </w:r>
      <w:r w:rsidRPr="00506D2B" w:rsidR="00EF4320">
        <w:rPr>
          <w:rFonts w:ascii="Arial" w:hAnsi="Arial" w:cs="Arial"/>
          <w:color w:val="000000" w:themeColor="text1"/>
          <w:sz w:val="22"/>
          <w:szCs w:val="22"/>
        </w:rPr>
        <w:t xml:space="preserve">older adults </w:t>
      </w:r>
      <w:r w:rsidRPr="00506D2B">
        <w:rPr>
          <w:rFonts w:ascii="Arial" w:hAnsi="Arial" w:cs="Arial"/>
          <w:color w:val="000000" w:themeColor="text1"/>
          <w:sz w:val="22"/>
          <w:szCs w:val="22"/>
        </w:rPr>
        <w:t xml:space="preserve">in the UK, </w:t>
      </w:r>
      <w:r w:rsidRPr="00506D2B" w:rsidR="00EF4320">
        <w:rPr>
          <w:rFonts w:ascii="Arial" w:hAnsi="Arial" w:cs="Arial"/>
          <w:color w:val="000000" w:themeColor="text1"/>
          <w:sz w:val="22"/>
          <w:szCs w:val="22"/>
        </w:rPr>
        <w:t>who</w:t>
      </w:r>
      <w:r w:rsidRPr="00506D2B">
        <w:rPr>
          <w:rFonts w:ascii="Arial" w:hAnsi="Arial" w:cs="Arial"/>
          <w:color w:val="000000" w:themeColor="text1"/>
          <w:sz w:val="22"/>
          <w:szCs w:val="22"/>
        </w:rPr>
        <w:t xml:space="preserve"> often present with more advanced stages of dementia due to their reluctance to seek medical attention because of the prevailing cultural attitude that puts family caregiving as a higher priority.</w:t>
      </w:r>
      <w:r w:rsidRPr="00506D2B">
        <w:rPr>
          <w:rFonts w:ascii="Arial" w:hAnsi="Arial" w:cs="Arial"/>
          <w:color w:val="000000"/>
          <w:sz w:val="22"/>
          <w:szCs w:val="22"/>
        </w:rPr>
        <w:t xml:space="preserve"> In many cases, stigma associated with dementia, combined with systemic healthcare barriers, prevents individuals from accessing diagnostic services</w:t>
      </w:r>
      <w:r w:rsidRPr="00506D2B" w:rsidR="00197560">
        <w:rPr>
          <w:rFonts w:ascii="Arial" w:hAnsi="Arial" w:cs="Arial"/>
          <w:color w:val="000000"/>
          <w:sz w:val="22"/>
          <w:szCs w:val="22"/>
        </w:rPr>
        <w:t xml:space="preserve"> in a timely matter</w:t>
      </w:r>
      <w:r w:rsidR="001843E3">
        <w:rPr>
          <w:rFonts w:ascii="Arial" w:hAnsi="Arial" w:cs="Arial"/>
          <w:color w:val="000000"/>
          <w:sz w:val="22"/>
          <w:szCs w:val="22"/>
        </w:rPr>
        <w:t>.</w:t>
      </w:r>
      <w:r w:rsidRPr="00506D2B">
        <w:rPr>
          <w:rStyle w:val="normaltextrun"/>
          <w:rFonts w:ascii="Arial" w:hAnsi="Arial" w:cs="Arial" w:eastAsiaTheme="majorEastAsia"/>
          <w:color w:val="000000"/>
          <w:sz w:val="22"/>
          <w:szCs w:val="22"/>
        </w:rPr>
        <w:fldChar w:fldCharType="begin"/>
      </w:r>
      <w:r w:rsidR="00025355">
        <w:rPr>
          <w:rStyle w:val="normaltextrun"/>
          <w:rFonts w:ascii="Arial" w:hAnsi="Arial" w:cs="Arial" w:eastAsiaTheme="majorEastAsia"/>
          <w:color w:val="000000"/>
          <w:sz w:val="22"/>
          <w:szCs w:val="22"/>
        </w:rPr>
        <w:instrText xml:space="preserve"> ADDIN ZOTERO_ITEM CSL_CITATION {"citationID":"MHS8HMTg","properties":{"formattedCitation":"\\super 74\\nosupersub{}","plainCitation":"74","noteIndex":0},"citationItems":[{"id":"7XVybpWP/3A8KLjeW","uris":["http://zotero.org/users/14808070/items/HKX7BSSJ"],"itemData":{"id":1073,"type":"article-journal","abstract":"Alzheimer's disease and related dementias (AD/ADRD) disparities exist in the rapidly growing and extremely heterogeneous Asian American and Native Hawaiian and Pacific Islander (NH/PI) ageing populations in the United States. Limited community-clinical resources supporting culturally competent and timely diagnosis exacerbate barriers to existing care services in these populations. Community-based participatory research or community-engaged research are proven community-academic research approaches that can support the development and implementation of community-focused programmes to maximise community benefit. The NYU Center for the Study of Asian American Health engaged our national and local community partners to gain a deeper understanding of AD/ADRD in this diverse and growing population, to develop a strategic community-engaged research agenda to understand, address and reduce AD/ADRD disparities among Asian American and NH/PI communities. Findings from an initial scoping review identified significant research gaps. We conducted a series of key informant interviews (n = 11) and a modified Delphi survey (n = 14) with Asian American and NH/PI community leaders and older adult service providers followed by a facilitated group discussion of survey findings to gain consensus on key priority research areas identified in the literature and to determine culturally and contextually appropriate approaches to support AD/ADRD prevention, early identification and treatment in Asian American and NH/PI communities. Future research and health education should focus on raising Asian American and NH/PI basic individual- and community-level awareness about AD/ADRD and leveraging existing community assets to integrate effective engagement strategies to access AD/ADRD services within the healthcare system.","container-title":"Health &amp; Social Care in the Community","DOI":"10.1111/hsc.14025","ISSN":"1365-2524","issue":"6","journalAbbreviation":"Health Soc Care Community","language":"eng","note":"PMID: 36102595\nPMCID: PMC10069713","page":"e5946-e5958","source":"PubMed","title":"Exploring community knowledge, attitudes and perceptions of Alzheimer's Disease/Alzheimer's Disease-Related Dementias and healthy ageing in Asian American, Native Hawaiian and Pacific Islanders","volume":"30","author":[{"family":"Wong","given":"Jennifer A."},{"family":"Min","given":"Deborah K."},{"family":"Kranick","given":"Julie"},{"family":"Ushasri","given":"Harini"},{"family":"Trinh-Shevrin","given":"Chau"},{"family":"Kwon","given":"Simona C."}],"issued":{"date-parts":[["2022",11]]}}}],"schema":"https://github.com/citation-style-language/schema/raw/master/csl-citation.json"} </w:instrText>
      </w:r>
      <w:r w:rsidRPr="00506D2B">
        <w:rPr>
          <w:rStyle w:val="normaltextrun"/>
          <w:rFonts w:ascii="Arial" w:hAnsi="Arial" w:cs="Arial" w:eastAsiaTheme="majorEastAsia"/>
          <w:color w:val="000000"/>
          <w:sz w:val="22"/>
          <w:szCs w:val="22"/>
        </w:rPr>
        <w:fldChar w:fldCharType="separate"/>
      </w:r>
      <w:r w:rsidRPr="00025355" w:rsidR="00025355">
        <w:rPr>
          <w:rFonts w:ascii="Arial" w:hAnsi="Arial" w:cs="Arial"/>
          <w:sz w:val="22"/>
          <w:vertAlign w:val="superscript"/>
        </w:rPr>
        <w:t>74</w:t>
      </w:r>
      <w:r w:rsidRPr="00506D2B">
        <w:rPr>
          <w:rStyle w:val="normaltextrun"/>
          <w:rFonts w:ascii="Arial" w:hAnsi="Arial" w:cs="Arial" w:eastAsiaTheme="majorEastAsia"/>
          <w:color w:val="000000"/>
          <w:sz w:val="22"/>
          <w:szCs w:val="22"/>
        </w:rPr>
        <w:fldChar w:fldCharType="end"/>
      </w:r>
    </w:p>
    <w:p w:rsidRPr="00DD3983" w:rsidR="008F12CA" w:rsidP="006618CC" w:rsidRDefault="008F12CA" w14:paraId="31DBFB95" w14:textId="5CBAF99D">
      <w:pPr>
        <w:pStyle w:val="paragraph"/>
        <w:spacing w:before="0" w:after="0"/>
        <w:jc w:val="both"/>
        <w:textAlignment w:val="baseline"/>
        <w:rPr>
          <w:rFonts w:ascii="Arial" w:hAnsi="Arial" w:cs="Arial"/>
          <w:sz w:val="22"/>
          <w:szCs w:val="22"/>
        </w:rPr>
      </w:pPr>
      <w:r w:rsidRPr="00506D2B">
        <w:rPr>
          <w:rFonts w:ascii="Arial" w:hAnsi="Arial" w:cs="Arial"/>
          <w:color w:val="000000" w:themeColor="text1"/>
          <w:sz w:val="22"/>
          <w:szCs w:val="22"/>
        </w:rPr>
        <w:t xml:space="preserve">Diagnosis pathways frequently </w:t>
      </w:r>
      <w:proofErr w:type="gramStart"/>
      <w:r w:rsidRPr="00506D2B">
        <w:rPr>
          <w:rFonts w:ascii="Arial" w:hAnsi="Arial" w:cs="Arial"/>
          <w:color w:val="000000" w:themeColor="text1"/>
          <w:sz w:val="22"/>
          <w:szCs w:val="22"/>
        </w:rPr>
        <w:t>are initiated</w:t>
      </w:r>
      <w:proofErr w:type="gramEnd"/>
      <w:r w:rsidRPr="00506D2B">
        <w:rPr>
          <w:rFonts w:ascii="Arial" w:hAnsi="Arial" w:cs="Arial"/>
          <w:color w:val="000000" w:themeColor="text1"/>
          <w:sz w:val="22"/>
          <w:szCs w:val="22"/>
        </w:rPr>
        <w:t xml:space="preserve"> only after certain </w:t>
      </w:r>
      <w:r w:rsidRPr="00506D2B" w:rsidR="003D462A">
        <w:rPr>
          <w:rFonts w:ascii="Arial" w:hAnsi="Arial" w:cs="Arial"/>
          <w:color w:val="000000" w:themeColor="text1"/>
          <w:sz w:val="22"/>
          <w:szCs w:val="22"/>
        </w:rPr>
        <w:t xml:space="preserve">alarming symptoms </w:t>
      </w:r>
      <w:r w:rsidRPr="00506D2B">
        <w:rPr>
          <w:rFonts w:ascii="Arial" w:hAnsi="Arial" w:cs="Arial"/>
          <w:color w:val="000000" w:themeColor="text1"/>
          <w:sz w:val="22"/>
          <w:szCs w:val="22"/>
        </w:rPr>
        <w:t xml:space="preserve">have already occurred and illness, in the case of cognitive decline, is perceived to require some external medical attention. The Hispanic population presents severe paradoxes in the health care system where there is </w:t>
      </w:r>
      <w:r w:rsidRPr="00506D2B" w:rsidR="00823405">
        <w:rPr>
          <w:rFonts w:ascii="Arial" w:hAnsi="Arial" w:cs="Arial"/>
          <w:color w:val="000000" w:themeColor="text1"/>
          <w:sz w:val="22"/>
          <w:szCs w:val="22"/>
        </w:rPr>
        <w:t xml:space="preserve">a </w:t>
      </w:r>
      <w:r w:rsidRPr="00506D2B">
        <w:rPr>
          <w:rFonts w:ascii="Arial" w:hAnsi="Arial" w:cs="Arial"/>
          <w:color w:val="000000" w:themeColor="text1"/>
          <w:sz w:val="22"/>
          <w:szCs w:val="22"/>
        </w:rPr>
        <w:t>lack of trust in the health care system and a prevailing fear of ethnical discrimination preventing patients from engaging in primary screening services for fear of being screened impersonally</w:t>
      </w:r>
      <w:r w:rsidR="001843E3">
        <w:rPr>
          <w:rFonts w:ascii="Arial" w:hAnsi="Arial" w:cs="Arial"/>
          <w:color w:val="000000" w:themeColor="text1"/>
          <w:sz w:val="22"/>
          <w:szCs w:val="22"/>
        </w:rPr>
        <w:t>.</w:t>
      </w:r>
      <w:r w:rsidRPr="00506D2B">
        <w:rPr>
          <w:rStyle w:val="normaltextrun"/>
          <w:rFonts w:ascii="Arial" w:hAnsi="Arial" w:cs="Arial" w:eastAsiaTheme="majorEastAsia"/>
          <w:color w:val="000000"/>
          <w:sz w:val="22"/>
          <w:szCs w:val="22"/>
        </w:rPr>
        <w:fldChar w:fldCharType="begin"/>
      </w:r>
      <w:r w:rsidR="00025355">
        <w:rPr>
          <w:rStyle w:val="normaltextrun"/>
          <w:rFonts w:ascii="Arial" w:hAnsi="Arial" w:cs="Arial" w:eastAsiaTheme="majorEastAsia"/>
          <w:color w:val="000000"/>
          <w:sz w:val="22"/>
          <w:szCs w:val="22"/>
        </w:rPr>
        <w:instrText xml:space="preserve"> ADDIN ZOTERO_ITEM CSL_CITATION {"citationID":"JdreUnFx","properties":{"formattedCitation":"\\super 75\\nosupersub{}","plainCitation":"75","noteIndex":0},"citationItems":[{"id":"7XVybpWP/luwUtuPI","uris":["http://zotero.org/users/14808070/items/R5MBJGZU"],"itemData":{"id":1076,"type":"article-journal","container-title":"JAMA","ISSN":"0098-7484","issue":"7","journalAbbreviation":"JAMA","language":"eng","note":"PMID: 11497517","page":"779-780","source":"PubMed","title":"Racial barriers may hamper diagnosis, care of patients with Alzheimer disease","volume":"286","author":[{"family":"Stephenson","given":"J."}],"issued":{"date-parts":[["2001",8,15]]}}}],"schema":"https://github.com/citation-style-language/schema/raw/master/csl-citation.json"} </w:instrText>
      </w:r>
      <w:r w:rsidRPr="00506D2B">
        <w:rPr>
          <w:rStyle w:val="normaltextrun"/>
          <w:rFonts w:ascii="Arial" w:hAnsi="Arial" w:cs="Arial" w:eastAsiaTheme="majorEastAsia"/>
          <w:color w:val="000000"/>
          <w:sz w:val="22"/>
          <w:szCs w:val="22"/>
        </w:rPr>
        <w:fldChar w:fldCharType="separate"/>
      </w:r>
      <w:r w:rsidRPr="00025355" w:rsidR="00025355">
        <w:rPr>
          <w:rFonts w:ascii="Arial" w:hAnsi="Arial" w:cs="Arial"/>
          <w:sz w:val="22"/>
          <w:vertAlign w:val="superscript"/>
        </w:rPr>
        <w:t>75</w:t>
      </w:r>
      <w:r w:rsidRPr="00506D2B">
        <w:rPr>
          <w:rStyle w:val="normaltextrun"/>
          <w:rFonts w:ascii="Arial" w:hAnsi="Arial" w:cs="Arial" w:eastAsiaTheme="majorEastAsia"/>
          <w:color w:val="000000"/>
          <w:sz w:val="22"/>
          <w:szCs w:val="22"/>
        </w:rPr>
        <w:fldChar w:fldCharType="end"/>
      </w:r>
      <w:r>
        <w:rPr>
          <w:rStyle w:val="normaltextrun"/>
          <w:rFonts w:ascii="Arial" w:hAnsi="Arial" w:cs="Arial" w:eastAsiaTheme="majorEastAsia"/>
          <w:color w:val="000000"/>
          <w:sz w:val="22"/>
          <w:szCs w:val="22"/>
        </w:rPr>
        <w:t xml:space="preserve"> </w:t>
      </w:r>
      <w:r w:rsidRPr="00506D2B">
        <w:rPr>
          <w:rFonts w:ascii="Arial" w:hAnsi="Arial" w:cs="Arial"/>
          <w:color w:val="000000" w:themeColor="text1"/>
          <w:sz w:val="22"/>
          <w:szCs w:val="22"/>
        </w:rPr>
        <w:t>Members of racial minority groups as well as of rural society as a whole have little trust in the medical system it greatly lowers willingness to clinically participate in research, prolonging diagnosis</w:t>
      </w:r>
      <w:r w:rsidRPr="00506D2B" w:rsidR="00000FD4">
        <w:rPr>
          <w:rFonts w:ascii="Arial" w:hAnsi="Arial" w:cs="Arial"/>
          <w:color w:val="000000" w:themeColor="text1"/>
          <w:sz w:val="22"/>
          <w:szCs w:val="22"/>
        </w:rPr>
        <w:t xml:space="preserve"> and </w:t>
      </w:r>
      <w:r w:rsidRPr="00506D2B" w:rsidR="00381EDF">
        <w:rPr>
          <w:rFonts w:ascii="Arial" w:hAnsi="Arial" w:cs="Arial"/>
          <w:color w:val="000000" w:themeColor="text1"/>
          <w:sz w:val="22"/>
          <w:szCs w:val="22"/>
        </w:rPr>
        <w:t xml:space="preserve">ultimately </w:t>
      </w:r>
      <w:r w:rsidRPr="00506D2B" w:rsidR="00000FD4">
        <w:rPr>
          <w:rFonts w:ascii="Arial" w:hAnsi="Arial" w:cs="Arial"/>
          <w:color w:val="000000" w:themeColor="text1"/>
          <w:sz w:val="22"/>
          <w:szCs w:val="22"/>
        </w:rPr>
        <w:t>research quality</w:t>
      </w:r>
      <w:r w:rsidR="001843E3">
        <w:rPr>
          <w:rFonts w:ascii="Arial" w:hAnsi="Arial" w:cs="Arial"/>
          <w:color w:val="000000" w:themeColor="text1"/>
          <w:sz w:val="22"/>
          <w:szCs w:val="22"/>
        </w:rPr>
        <w:t>.</w:t>
      </w:r>
      <w:r w:rsidRPr="00506D2B">
        <w:rPr>
          <w:rStyle w:val="normaltextrun"/>
          <w:rFonts w:ascii="Arial" w:hAnsi="Arial" w:cs="Arial" w:eastAsiaTheme="majorEastAsia"/>
          <w:color w:val="000000"/>
          <w:sz w:val="22"/>
          <w:szCs w:val="22"/>
        </w:rPr>
        <w:fldChar w:fldCharType="begin"/>
      </w:r>
      <w:r w:rsidR="00025355">
        <w:rPr>
          <w:rStyle w:val="normaltextrun"/>
          <w:rFonts w:ascii="Arial" w:hAnsi="Arial" w:cs="Arial" w:eastAsiaTheme="majorEastAsia"/>
          <w:color w:val="000000"/>
          <w:sz w:val="22"/>
          <w:szCs w:val="22"/>
        </w:rPr>
        <w:instrText xml:space="preserve"> ADDIN ZOTERO_ITEM CSL_CITATION {"citationID":"7CvIAQOF","properties":{"formattedCitation":"\\super 75\\nosupersub{}","plainCitation":"75","noteIndex":0},"citationItems":[{"id":"7XVybpWP/luwUtuPI","uris":["http://zotero.org/users/14808070/items/R5MBJGZU"],"itemData":{"id":1076,"type":"article-journal","container-title":"JAMA","ISSN":"0098-7484","issue":"7","journalAbbreviation":"JAMA","language":"eng","note":"PMID: 11497517","page":"779-780","source":"PubMed","title":"Racial barriers may hamper diagnosis, care of patients with Alzheimer disease","volume":"286","author":[{"family":"Stephenson","given":"J."}],"issued":{"date-parts":[["2001",8,15]]}}}],"schema":"https://github.com/citation-style-language/schema/raw/master/csl-citation.json"} </w:instrText>
      </w:r>
      <w:r w:rsidRPr="00506D2B">
        <w:rPr>
          <w:rStyle w:val="normaltextrun"/>
          <w:rFonts w:ascii="Arial" w:hAnsi="Arial" w:cs="Arial" w:eastAsiaTheme="majorEastAsia"/>
          <w:color w:val="000000"/>
          <w:sz w:val="22"/>
          <w:szCs w:val="22"/>
        </w:rPr>
        <w:fldChar w:fldCharType="separate"/>
      </w:r>
      <w:r w:rsidRPr="00025355" w:rsidR="00025355">
        <w:rPr>
          <w:rFonts w:ascii="Arial" w:hAnsi="Arial" w:cs="Arial"/>
          <w:sz w:val="22"/>
          <w:vertAlign w:val="superscript"/>
        </w:rPr>
        <w:t>75</w:t>
      </w:r>
      <w:r w:rsidRPr="00506D2B">
        <w:rPr>
          <w:rStyle w:val="normaltextrun"/>
          <w:rFonts w:ascii="Arial" w:hAnsi="Arial" w:cs="Arial" w:eastAsiaTheme="majorEastAsia"/>
          <w:color w:val="000000"/>
          <w:sz w:val="22"/>
          <w:szCs w:val="22"/>
        </w:rPr>
        <w:fldChar w:fldCharType="end"/>
      </w:r>
    </w:p>
    <w:p w:rsidRPr="00DD3983" w:rsidR="008F12CA" w:rsidP="006618CC" w:rsidRDefault="008F12CA" w14:paraId="5F4F516D" w14:textId="471F1EFF">
      <w:pPr>
        <w:pStyle w:val="NormalWeb"/>
        <w:spacing w:before="240" w:beforeAutospacing="0" w:after="240" w:afterAutospacing="0"/>
        <w:jc w:val="both"/>
        <w:textAlignment w:val="baseline"/>
        <w:rPr>
          <w:rFonts w:ascii="Arial" w:hAnsi="Arial" w:cs="Arial"/>
          <w:color w:val="000000" w:themeColor="text1"/>
          <w:sz w:val="22"/>
          <w:szCs w:val="22"/>
        </w:rPr>
      </w:pPr>
      <w:r w:rsidRPr="00506D2B">
        <w:rPr>
          <w:rFonts w:ascii="Arial" w:hAnsi="Arial" w:cs="Arial"/>
          <w:color w:val="000000"/>
          <w:sz w:val="22"/>
          <w:szCs w:val="22"/>
        </w:rPr>
        <w:t>Patient and family factors further contribute to delays, as reluctance to acknowledge symptoms or seek care, coupled with stigma and fear associated with dementia diagnoses, discourage discussions about cognitive changes</w:t>
      </w:r>
      <w:r w:rsidR="001843E3">
        <w:rPr>
          <w:rFonts w:ascii="Arial" w:hAnsi="Arial" w:cs="Arial"/>
          <w:color w:val="000000"/>
          <w:sz w:val="22"/>
          <w:szCs w:val="22"/>
        </w:rPr>
        <w:t>.</w:t>
      </w:r>
      <w:r w:rsidRPr="00506D2B">
        <w:rPr>
          <w:rStyle w:val="normaltextrun"/>
          <w:rFonts w:ascii="Arial" w:hAnsi="Arial" w:cs="Arial" w:eastAsiaTheme="majorEastAsia"/>
          <w:color w:val="000000"/>
          <w:sz w:val="22"/>
          <w:szCs w:val="22"/>
        </w:rPr>
        <w:fldChar w:fldCharType="begin"/>
      </w:r>
      <w:r w:rsidR="00025355">
        <w:rPr>
          <w:rStyle w:val="normaltextrun"/>
          <w:rFonts w:ascii="Arial" w:hAnsi="Arial" w:cs="Arial" w:eastAsiaTheme="majorEastAsia"/>
          <w:color w:val="000000"/>
          <w:sz w:val="22"/>
          <w:szCs w:val="22"/>
        </w:rPr>
        <w:instrText xml:space="preserve"> ADDIN ZOTERO_ITEM CSL_CITATION {"citationID":"9wY34IOn","properties":{"formattedCitation":"\\super 73\\nosupersub{}","plainCitation":"73","noteIndex":0},"citationItems":[{"id":"7XVybpWP/Ijy0a6Ij","uris":["http://zotero.org/users/14808070/items/9CRS522U"],"itemData":{"id":1064,"type":"article-journal","abstract":"Experts from eight European countries (Belgium, France, The Netherlands, Ireland, Italy, Portugal, Spain and the United Kingdom) and the disciplines of clinical psychology, general practice, geriatric medicine, old age psychiatry, medical sociology, nursing and voluntary body organisation met in 2003 to explore obstacles to recognition of and response to dementia in general practice within Europe. A modified focus group methodology was used in this exploratory process. Groups were conducted over a two-day period, with five sessions lasting 1-1.5 hours each. An adapted nominal group method was used to record themes arising from the group discussion, and these themes were used in a grounded theory approach to generate explanations for delayed recognition of and response to dementia. The overarching theme that arose from the focus groups was movement, which had three different expressions. These were: population movement and its consequences for localities, services and professional experience; the journey of the person with dementia along the disease process; and the referral pathway to access services and support. Change is the core issue in dementia care, with multiple pathways of change that need to be understood at clinical and organisational levels. Practitioners and people with dementia are engaged in managing emotional, social and physical risks, making explicit risk management a potentially important component of dementia care. The boundary between generalist and specialist services is a particular problem, with great potential for dysfunctionality. Stigma and ageism are variably distributed phenomena both within and between countries.","container-title":"Aging &amp; Mental Health","DOI":"10.1080/13607860412331323791","ISSN":"1360-7863","issue":"1","journalAbbreviation":"Aging Ment Health","language":"eng","note":"PMID: 15841826","page":"1-6","source":"PubMed","title":"Understanding obstacles to the recognition of and response to dementia in different European countries: a modified focus group approach using multinational, multi-disciplinary expert groups","title-short":"Understanding obstacles to the recognition of and response to dementia in different European countries","volume":"9","author":[{"family":"Iliffe","given":"S."},{"family":"De Lepeleire","given":"J."},{"family":"Van Hout","given":"H."},{"family":"Kenny","given":"G."},{"family":"Lewis","given":"A."},{"family":"Vernooij-Dassen","given":"M."},{"literal":"DIADEM Group"}],"issued":{"date-parts":[["2005",1]]}}}],"schema":"https://github.com/citation-style-language/schema/raw/master/csl-citation.json"} </w:instrText>
      </w:r>
      <w:r w:rsidRPr="00506D2B">
        <w:rPr>
          <w:rStyle w:val="normaltextrun"/>
          <w:rFonts w:ascii="Arial" w:hAnsi="Arial" w:cs="Arial" w:eastAsiaTheme="majorEastAsia"/>
          <w:color w:val="000000"/>
          <w:sz w:val="22"/>
          <w:szCs w:val="22"/>
        </w:rPr>
        <w:fldChar w:fldCharType="separate"/>
      </w:r>
      <w:r w:rsidRPr="00025355" w:rsidR="00025355">
        <w:rPr>
          <w:rFonts w:ascii="Arial" w:hAnsi="Arial" w:cs="Arial"/>
          <w:sz w:val="22"/>
          <w:vertAlign w:val="superscript"/>
        </w:rPr>
        <w:t>73</w:t>
      </w:r>
      <w:r w:rsidRPr="00506D2B">
        <w:rPr>
          <w:rStyle w:val="normaltextrun"/>
          <w:rFonts w:ascii="Arial" w:hAnsi="Arial" w:cs="Arial" w:eastAsiaTheme="majorEastAsia"/>
          <w:color w:val="000000"/>
          <w:sz w:val="22"/>
          <w:szCs w:val="22"/>
        </w:rPr>
        <w:fldChar w:fldCharType="end"/>
      </w:r>
      <w:r w:rsidRPr="00506D2B">
        <w:rPr>
          <w:rFonts w:ascii="Arial" w:hAnsi="Arial" w:cs="Arial"/>
          <w:color w:val="000000" w:themeColor="text1"/>
          <w:sz w:val="22"/>
          <w:szCs w:val="22"/>
        </w:rPr>
        <w:t xml:space="preserve"> The phenomenon is exacerbated by missing “red flags” pertaining to dementia, such as memory loss or personality and cognitive changes which most people consider a part of the normal aging process</w:t>
      </w:r>
      <w:r w:rsidR="001843E3">
        <w:rPr>
          <w:rFonts w:ascii="Arial" w:hAnsi="Arial" w:cs="Arial"/>
          <w:color w:val="000000" w:themeColor="text1"/>
          <w:sz w:val="22"/>
          <w:szCs w:val="22"/>
        </w:rPr>
        <w:t>.</w:t>
      </w:r>
      <w:r w:rsidRPr="00506D2B" w:rsidR="00506D2B">
        <w:rPr>
          <w:rFonts w:ascii="Arial" w:hAnsi="Arial" w:cs="Arial"/>
          <w:color w:val="000000" w:themeColor="text1"/>
          <w:sz w:val="22"/>
          <w:szCs w:val="22"/>
        </w:rPr>
        <w:fldChar w:fldCharType="begin"/>
      </w:r>
      <w:r w:rsidR="00025355">
        <w:rPr>
          <w:rFonts w:ascii="Arial" w:hAnsi="Arial" w:cs="Arial"/>
          <w:color w:val="000000" w:themeColor="text1"/>
          <w:sz w:val="22"/>
          <w:szCs w:val="22"/>
        </w:rPr>
        <w:instrText xml:space="preserve"> ADDIN ZOTERO_ITEM CSL_CITATION {"citationID":"WCcAmavw","properties":{"formattedCitation":"\\super 73\\nosupersub{}","plainCitation":"73","noteIndex":0},"citationItems":[{"id":"7XVybpWP/Ijy0a6Ij","uris":["http://zotero.org/users/14808070/items/9CRS522U"],"itemData":{"id":1064,"type":"article-journal","abstract":"Experts from eight European countries (Belgium, France, The Netherlands, Ireland, Italy, Portugal, Spain and the United Kingdom) and the disciplines of clinical psychology, general practice, geriatric medicine, old age psychiatry, medical sociology, nursing and voluntary body organisation met in 2003 to explore obstacles to recognition of and response to dementia in general practice within Europe. A modified focus group methodology was used in this exploratory process. Groups were conducted over a two-day period, with five sessions lasting 1-1.5 hours each. An adapted nominal group method was used to record themes arising from the group discussion, and these themes were used in a grounded theory approach to generate explanations for delayed recognition of and response to dementia. The overarching theme that arose from the focus groups was movement, which had three different expressions. These were: population movement and its consequences for localities, services and professional experience; the journey of the person with dementia along the disease process; and the referral pathway to access services and support. Change is the core issue in dementia care, with multiple pathways of change that need to be understood at clinical and organisational levels. Practitioners and people with dementia are engaged in managing emotional, social and physical risks, making explicit risk management a potentially important component of dementia care. The boundary between generalist and specialist services is a particular problem, with great potential for dysfunctionality. Stigma and ageism are variably distributed phenomena both within and between countries.","container-title":"Aging &amp; Mental Health","DOI":"10.1080/13607860412331323791","ISSN":"1360-7863","issue":"1","journalAbbreviation":"Aging Ment Health","language":"eng","note":"PMID: 15841826","page":"1-6","source":"PubMed","title":"Understanding obstacles to the recognition of and response to dementia in different European countries: a modified focus group approach using multinational, multi-disciplinary expert groups","title-short":"Understanding obstacles to the recognition of and response to dementia in different European countries","volume":"9","author":[{"family":"Iliffe","given":"S."},{"family":"De Lepeleire","given":"J."},{"family":"Van Hout","given":"H."},{"family":"Kenny","given":"G."},{"family":"Lewis","given":"A."},{"family":"Vernooij-Dassen","given":"M."},{"literal":"DIADEM Group"}],"issued":{"date-parts":[["2005",1]]}}}],"schema":"https://github.com/citation-style-language/schema/raw/master/csl-citation.json"} </w:instrText>
      </w:r>
      <w:r w:rsidRPr="00506D2B" w:rsidR="00506D2B">
        <w:rPr>
          <w:rFonts w:ascii="Arial" w:hAnsi="Arial" w:cs="Arial"/>
          <w:color w:val="000000" w:themeColor="text1"/>
          <w:sz w:val="22"/>
          <w:szCs w:val="22"/>
        </w:rPr>
        <w:fldChar w:fldCharType="separate"/>
      </w:r>
      <w:r w:rsidRPr="00025355" w:rsidR="00025355">
        <w:rPr>
          <w:rFonts w:ascii="Arial" w:hAnsi="Arial" w:cs="Arial"/>
          <w:sz w:val="22"/>
          <w:vertAlign w:val="superscript"/>
        </w:rPr>
        <w:t>73</w:t>
      </w:r>
      <w:r w:rsidRPr="00506D2B" w:rsidR="00506D2B">
        <w:rPr>
          <w:rFonts w:ascii="Arial" w:hAnsi="Arial" w:cs="Arial"/>
          <w:color w:val="000000" w:themeColor="text1"/>
          <w:sz w:val="22"/>
          <w:szCs w:val="22"/>
        </w:rPr>
        <w:fldChar w:fldCharType="end"/>
      </w:r>
    </w:p>
    <w:p w:rsidRPr="005B26C3" w:rsidR="00073D4A" w:rsidP="005B26C3" w:rsidRDefault="00BE4E1D" w14:paraId="6ADA3AEA" w14:textId="258ED80B">
      <w:pPr>
        <w:pStyle w:val="NormalWeb"/>
        <w:spacing w:before="240" w:beforeAutospacing="0" w:after="240" w:afterAutospacing="0"/>
        <w:jc w:val="both"/>
        <w:textAlignment w:val="baseline"/>
        <w:rPr>
          <w:rStyle w:val="eop"/>
          <w:rFonts w:ascii="Arial" w:hAnsi="Arial" w:cs="Arial"/>
          <w:color w:val="000000" w:themeColor="text1"/>
          <w:sz w:val="22"/>
          <w:szCs w:val="22"/>
        </w:rPr>
      </w:pPr>
      <w:r w:rsidRPr="00506D2B">
        <w:rPr>
          <w:rFonts w:ascii="Arial" w:hAnsi="Arial" w:cs="Arial"/>
          <w:color w:val="000000" w:themeColor="text1"/>
          <w:sz w:val="22"/>
          <w:szCs w:val="22"/>
        </w:rPr>
        <w:t xml:space="preserve">Cultural, educational, and social background differences can render some of the most basic cognitive assessments such as the MMSE and MoCA ineffective. Within the Hispanic population, there are cultural and linguistic factors that may contribute to them scoring lower even when their biomarker profile is similar to that of non-Hispanic whites, hence suggesting that socio-economic disparity and educational gaps lead to </w:t>
      </w:r>
      <w:r w:rsidRPr="00506D2B">
        <w:rPr>
          <w:rFonts w:ascii="Arial" w:hAnsi="Arial" w:cs="Arial"/>
          <w:i/>
          <w:color w:val="000000" w:themeColor="text1"/>
          <w:sz w:val="22"/>
          <w:szCs w:val="22"/>
        </w:rPr>
        <w:t>misdiagnosis</w:t>
      </w:r>
      <w:r w:rsidR="001843E3">
        <w:rPr>
          <w:rFonts w:ascii="Arial" w:hAnsi="Arial" w:cs="Arial"/>
          <w:i/>
          <w:color w:val="000000" w:themeColor="text1"/>
          <w:sz w:val="22"/>
          <w:szCs w:val="22"/>
        </w:rPr>
        <w:t>.</w:t>
      </w:r>
      <w:r w:rsidRPr="00506D2B">
        <w:rPr>
          <w:rStyle w:val="normaltextrun"/>
          <w:rFonts w:ascii="Arial" w:hAnsi="Arial" w:cs="Arial" w:eastAsiaTheme="majorEastAsia"/>
          <w:color w:val="000000"/>
          <w:sz w:val="22"/>
          <w:szCs w:val="22"/>
        </w:rPr>
        <w:fldChar w:fldCharType="begin"/>
      </w:r>
      <w:r w:rsidR="00025355">
        <w:rPr>
          <w:rStyle w:val="normaltextrun"/>
          <w:rFonts w:ascii="Arial" w:hAnsi="Arial" w:cs="Arial" w:eastAsiaTheme="majorEastAsia"/>
          <w:color w:val="000000"/>
          <w:sz w:val="22"/>
          <w:szCs w:val="22"/>
        </w:rPr>
        <w:instrText xml:space="preserve"> ADDIN ZOTERO_ITEM CSL_CITATION {"citationID":"h7ngc2vP","properties":{"formattedCitation":"\\super 76\\nosupersub{}","plainCitation":"76","noteIndex":0},"citationItems":[{"id":"7XVybpWP/16pqxpD0","uris":["http://zotero.org/users/14808070/items/SGRPPKBP"],"itemData":{"id":1066,"type":"article-journal","abstract":"INTRODUCTION: Poorer baseline functioning is associated with long-term cognitive decline among Hispanic older adults, but little is known about associations of these factors with Alzheimer's disease (AD) neuroimaging biomarkers.\nMETHODS: A total of 461 Hispanic and White non-Hispanic (NHW) older adults who are cognitively normal (n = 76), had impaired cognition without mild cognitive impairment (MCI) (n = 41), or carried a diagnosis of MCI (n = 253) or dementia (n = 91) completed neuropsychological and functional assessment, genetic testing, and brain magnetic resonance imaging (MRI). Structural equation modeling (SEM) was used to examine predictive associations between functional and cognitive measures of AD neuroimaging biomarkers.\nRESULTS: MRI volumes significantly predicted functional limitations in both groups. Sex and amyloid load significantly predicted functional limitations among the Hispanic group only. Years of education and MRI regional volume were the strongest predictors of cognition among both groups.\nDISCUSSION: Results indicate that functional performance is associated with early AD biomarkers among Hispanic older adults. Clinical implications are discussed.\nHIGHLIGHTS: The current study addresses health disparities in Alzheimer's disease (AD) and related dementia assessment among Hispanics by identifying measures sensitive to early AD biomarkers.Associations of functional measures with AD genetic and neuroimaging biomarkers revealed that similarities in these associations exist between Hispanic and White non-Hispanic individuals, but biological sex and amyloid load significantly predicted functional limitations among the Hispanic group only.These results have clinical implications for physicians who treat Hispanic AD patients and indicate that when compared to traditional diagnostic assessments, functional assessments may better aid in AD diagnostic precision among Hispanics.","container-title":"Alzheimer's &amp; Dementia (Amsterdam, Netherlands)","DOI":"10.1002/dad2.12632","ISSN":"2352-8729","issue":"3","journalAbbreviation":"Alzheimers Dement (Amst)","language":"eng","note":"PMID: 39130803\nPMCID: PMC11316142","page":"e12632","source":"PubMed","title":"Functional measures and AD biomarkers among Hispanic and White non-Hispanic older adults","volume":"16","author":[{"family":"Rodriguez","given":"Miriam J."},{"family":"Mendoza","given":"Lisandra"},{"family":"Garcia","given":"Patricia"},{"family":"Duarte","given":"Andres"},{"family":"Padron","given":"Dilianna"},{"family":"Marsiske","given":"Michael"},{"family":"Fiala","given":"Jacob"},{"family":"Gonzalez","given":"Joanna"},{"family":"Duara","given":"Ranjan"}],"issued":{"date-parts":[["2024"]]}}}],"schema":"https://github.com/citation-style-language/schema/raw/master/csl-citation.json"} </w:instrText>
      </w:r>
      <w:r w:rsidRPr="00506D2B">
        <w:rPr>
          <w:rStyle w:val="normaltextrun"/>
          <w:rFonts w:ascii="Arial" w:hAnsi="Arial" w:cs="Arial" w:eastAsiaTheme="majorEastAsia"/>
          <w:color w:val="000000"/>
          <w:sz w:val="22"/>
          <w:szCs w:val="22"/>
        </w:rPr>
        <w:fldChar w:fldCharType="separate"/>
      </w:r>
      <w:r w:rsidRPr="00025355" w:rsidR="00025355">
        <w:rPr>
          <w:rFonts w:ascii="Arial" w:hAnsi="Arial" w:cs="Arial"/>
          <w:sz w:val="22"/>
          <w:vertAlign w:val="superscript"/>
        </w:rPr>
        <w:t>76</w:t>
      </w:r>
      <w:r w:rsidRPr="00506D2B">
        <w:rPr>
          <w:rStyle w:val="normaltextrun"/>
          <w:rFonts w:ascii="Arial" w:hAnsi="Arial" w:cs="Arial" w:eastAsiaTheme="majorEastAsia"/>
          <w:color w:val="000000"/>
          <w:sz w:val="22"/>
          <w:szCs w:val="22"/>
        </w:rPr>
        <w:fldChar w:fldCharType="end"/>
      </w:r>
      <w:r w:rsidR="001843E3">
        <w:rPr>
          <w:rStyle w:val="normaltextrun"/>
          <w:rFonts w:ascii="Arial" w:hAnsi="Arial" w:cs="Arial" w:eastAsiaTheme="majorEastAsia"/>
          <w:color w:val="000000"/>
          <w:sz w:val="22"/>
          <w:szCs w:val="22"/>
        </w:rPr>
        <w:t xml:space="preserve"> </w:t>
      </w:r>
      <w:r w:rsidRPr="00506D2B" w:rsidR="008B30A2">
        <w:rPr>
          <w:rFonts w:ascii="Arial" w:hAnsi="Arial" w:cs="Arial"/>
          <w:color w:val="000000"/>
          <w:sz w:val="22"/>
          <w:szCs w:val="22"/>
        </w:rPr>
        <w:t>Even in high-income countries, financial barriers can persist, particularly for racial and ethnic minorities, who often lack insurance coverage for advanced neuroimaging and biomarker testing. Hispanic individuals frequently perform worse on cognitive assessments despite having similar biomarker profiles to non-Hispanic Whites, suggesting that economic and educational disparities contribute to misdiagnosis</w:t>
      </w:r>
      <w:r w:rsidR="001843E3">
        <w:rPr>
          <w:rFonts w:ascii="Arial" w:hAnsi="Arial" w:cs="Arial"/>
          <w:color w:val="000000"/>
          <w:sz w:val="22"/>
          <w:szCs w:val="22"/>
        </w:rPr>
        <w:t>.</w:t>
      </w:r>
      <w:r w:rsidRPr="00506D2B" w:rsidR="008B30A2">
        <w:rPr>
          <w:rStyle w:val="normaltextrun"/>
          <w:rFonts w:ascii="Arial" w:hAnsi="Arial" w:cs="Arial" w:eastAsiaTheme="majorEastAsia"/>
          <w:color w:val="000000"/>
          <w:sz w:val="22"/>
          <w:szCs w:val="22"/>
        </w:rPr>
        <w:fldChar w:fldCharType="begin"/>
      </w:r>
      <w:r w:rsidR="00025355">
        <w:rPr>
          <w:rStyle w:val="normaltextrun"/>
          <w:rFonts w:ascii="Arial" w:hAnsi="Arial" w:cs="Arial" w:eastAsiaTheme="majorEastAsia"/>
          <w:color w:val="000000"/>
          <w:sz w:val="22"/>
          <w:szCs w:val="22"/>
        </w:rPr>
        <w:instrText xml:space="preserve"> ADDIN ZOTERO_ITEM CSL_CITATION {"citationID":"XkvxFUKw","properties":{"formattedCitation":"\\super 76\\nosupersub{}","plainCitation":"76","noteIndex":0},"citationItems":[{"id":"7XVybpWP/16pqxpD0","uris":["http://zotero.org/users/14808070/items/SGRPPKBP"],"itemData":{"id":1066,"type":"article-journal","abstract":"INTRODUCTION: Poorer baseline functioning is associated with long-term cognitive decline among Hispanic older adults, but little is known about associations of these factors with Alzheimer's disease (AD) neuroimaging biomarkers.\nMETHODS: A total of 461 Hispanic and White non-Hispanic (NHW) older adults who are cognitively normal (n = 76), had impaired cognition without mild cognitive impairment (MCI) (n = 41), or carried a diagnosis of MCI (n = 253) or dementia (n = 91) completed neuropsychological and functional assessment, genetic testing, and brain magnetic resonance imaging (MRI). Structural equation modeling (SEM) was used to examine predictive associations between functional and cognitive measures of AD neuroimaging biomarkers.\nRESULTS: MRI volumes significantly predicted functional limitations in both groups. Sex and amyloid load significantly predicted functional limitations among the Hispanic group only. Years of education and MRI regional volume were the strongest predictors of cognition among both groups.\nDISCUSSION: Results indicate that functional performance is associated with early AD biomarkers among Hispanic older adults. Clinical implications are discussed.\nHIGHLIGHTS: The current study addresses health disparities in Alzheimer's disease (AD) and related dementia assessment among Hispanics by identifying measures sensitive to early AD biomarkers.Associations of functional measures with AD genetic and neuroimaging biomarkers revealed that similarities in these associations exist between Hispanic and White non-Hispanic individuals, but biological sex and amyloid load significantly predicted functional limitations among the Hispanic group only.These results have clinical implications for physicians who treat Hispanic AD patients and indicate that when compared to traditional diagnostic assessments, functional assessments may better aid in AD diagnostic precision among Hispanics.","container-title":"Alzheimer's &amp; Dementia (Amsterdam, Netherlands)","DOI":"10.1002/dad2.12632","ISSN":"2352-8729","issue":"3","journalAbbreviation":"Alzheimers Dement (Amst)","language":"eng","note":"PMID: 39130803\nPMCID: PMC11316142","page":"e12632","source":"PubMed","title":"Functional measures and AD biomarkers among Hispanic and White non-Hispanic older adults","volume":"16","author":[{"family":"Rodriguez","given":"Miriam J."},{"family":"Mendoza","given":"Lisandra"},{"family":"Garcia","given":"Patricia"},{"family":"Duarte","given":"Andres"},{"family":"Padron","given":"Dilianna"},{"family":"Marsiske","given":"Michael"},{"family":"Fiala","given":"Jacob"},{"family":"Gonzalez","given":"Joanna"},{"family":"Duara","given":"Ranjan"}],"issued":{"date-parts":[["2024"]]}}}],"schema":"https://github.com/citation-style-language/schema/raw/master/csl-citation.json"} </w:instrText>
      </w:r>
      <w:r w:rsidRPr="00506D2B" w:rsidR="008B30A2">
        <w:rPr>
          <w:rStyle w:val="normaltextrun"/>
          <w:rFonts w:ascii="Arial" w:hAnsi="Arial" w:cs="Arial" w:eastAsiaTheme="majorEastAsia"/>
          <w:color w:val="000000"/>
          <w:sz w:val="22"/>
          <w:szCs w:val="22"/>
        </w:rPr>
        <w:fldChar w:fldCharType="separate"/>
      </w:r>
      <w:r w:rsidRPr="00025355" w:rsidR="00025355">
        <w:rPr>
          <w:rFonts w:ascii="Arial" w:hAnsi="Arial" w:cs="Arial"/>
          <w:sz w:val="22"/>
          <w:vertAlign w:val="superscript"/>
        </w:rPr>
        <w:t>76</w:t>
      </w:r>
      <w:r w:rsidRPr="00506D2B" w:rsidR="008B30A2">
        <w:rPr>
          <w:rStyle w:val="normaltextrun"/>
          <w:rFonts w:ascii="Arial" w:hAnsi="Arial" w:cs="Arial" w:eastAsiaTheme="majorEastAsia"/>
          <w:color w:val="000000"/>
          <w:sz w:val="22"/>
          <w:szCs w:val="22"/>
        </w:rPr>
        <w:fldChar w:fldCharType="end"/>
      </w:r>
      <w:r w:rsidRPr="00506D2B" w:rsidR="00FB3309">
        <w:rPr>
          <w:rStyle w:val="normaltextrun"/>
          <w:rFonts w:ascii="Arial" w:hAnsi="Arial" w:cs="Arial" w:eastAsiaTheme="majorEastAsia"/>
          <w:color w:val="000000"/>
          <w:sz w:val="22"/>
          <w:szCs w:val="22"/>
        </w:rPr>
        <w:t xml:space="preserve"> </w:t>
      </w:r>
      <w:r w:rsidRPr="00506D2B" w:rsidR="00111B2B">
        <w:rPr>
          <w:rFonts w:ascii="Arial" w:hAnsi="Arial" w:cs="Arial"/>
          <w:color w:val="000000"/>
          <w:sz w:val="22"/>
          <w:szCs w:val="22"/>
        </w:rPr>
        <w:t>In Asian American, Native Hawaiian, and Pacific Islander communities, barriers such as language challenges, a shortage of culturally competent healthcare providers, and bureaucratic hurdles discourage caregivers from seeking timely care</w:t>
      </w:r>
      <w:r w:rsidR="001843E3">
        <w:rPr>
          <w:rFonts w:ascii="Arial" w:hAnsi="Arial" w:cs="Arial"/>
          <w:color w:val="000000"/>
          <w:sz w:val="22"/>
          <w:szCs w:val="22"/>
        </w:rPr>
        <w:t>.</w:t>
      </w:r>
      <w:r w:rsidRPr="00506D2B" w:rsidR="00111B2B">
        <w:rPr>
          <w:rStyle w:val="normaltextrun"/>
          <w:rFonts w:ascii="Arial" w:hAnsi="Arial" w:cs="Arial" w:eastAsiaTheme="majorEastAsia"/>
          <w:color w:val="000000"/>
          <w:sz w:val="22"/>
          <w:szCs w:val="22"/>
        </w:rPr>
        <w:fldChar w:fldCharType="begin"/>
      </w:r>
      <w:r w:rsidR="00025355">
        <w:rPr>
          <w:rStyle w:val="normaltextrun"/>
          <w:rFonts w:ascii="Arial" w:hAnsi="Arial" w:cs="Arial" w:eastAsiaTheme="majorEastAsia"/>
          <w:color w:val="000000"/>
          <w:sz w:val="22"/>
          <w:szCs w:val="22"/>
        </w:rPr>
        <w:instrText xml:space="preserve"> ADDIN ZOTERO_ITEM CSL_CITATION {"citationID":"BONnzNNR","properties":{"formattedCitation":"\\super 74\\nosupersub{}","plainCitation":"74","noteIndex":0},"citationItems":[{"id":"7XVybpWP/3A8KLjeW","uris":["http://zotero.org/users/14808070/items/HKX7BSSJ"],"itemData":{"id":1073,"type":"article-journal","abstract":"Alzheimer's disease and related dementias (AD/ADRD) disparities exist in the rapidly growing and extremely heterogeneous Asian American and Native Hawaiian and Pacific Islander (NH/PI) ageing populations in the United States. Limited community-clinical resources supporting culturally competent and timely diagnosis exacerbate barriers to existing care services in these populations. Community-based participatory research or community-engaged research are proven community-academic research approaches that can support the development and implementation of community-focused programmes to maximise community benefit. The NYU Center for the Study of Asian American Health engaged our national and local community partners to gain a deeper understanding of AD/ADRD in this diverse and growing population, to develop a strategic community-engaged research agenda to understand, address and reduce AD/ADRD disparities among Asian American and NH/PI communities. Findings from an initial scoping review identified significant research gaps. We conducted a series of key informant interviews (n = 11) and a modified Delphi survey (n = 14) with Asian American and NH/PI community leaders and older adult service providers followed by a facilitated group discussion of survey findings to gain consensus on key priority research areas identified in the literature and to determine culturally and contextually appropriate approaches to support AD/ADRD prevention, early identification and treatment in Asian American and NH/PI communities. Future research and health education should focus on raising Asian American and NH/PI basic individual- and community-level awareness about AD/ADRD and leveraging existing community assets to integrate effective engagement strategies to access AD/ADRD services within the healthcare system.","container-title":"Health &amp; Social Care in the Community","DOI":"10.1111/hsc.14025","ISSN":"1365-2524","issue":"6","journalAbbreviation":"Health Soc Care Community","language":"eng","note":"PMID: 36102595\nPMCID: PMC10069713","page":"e5946-e5958","source":"PubMed","title":"Exploring community knowledge, attitudes and perceptions of Alzheimer's Disease/Alzheimer's Disease-Related Dementias and healthy ageing in Asian American, Native Hawaiian and Pacific Islanders","volume":"30","author":[{"family":"Wong","given":"Jennifer A."},{"family":"Min","given":"Deborah K."},{"family":"Kranick","given":"Julie"},{"family":"Ushasri","given":"Harini"},{"family":"Trinh-Shevrin","given":"Chau"},{"family":"Kwon","given":"Simona C."}],"issued":{"date-parts":[["2022",11]]}}}],"schema":"https://github.com/citation-style-language/schema/raw/master/csl-citation.json"} </w:instrText>
      </w:r>
      <w:r w:rsidRPr="00506D2B" w:rsidR="00111B2B">
        <w:rPr>
          <w:rStyle w:val="normaltextrun"/>
          <w:rFonts w:ascii="Arial" w:hAnsi="Arial" w:cs="Arial" w:eastAsiaTheme="majorEastAsia"/>
          <w:color w:val="000000"/>
          <w:sz w:val="22"/>
          <w:szCs w:val="22"/>
        </w:rPr>
        <w:fldChar w:fldCharType="separate"/>
      </w:r>
      <w:r w:rsidRPr="00025355" w:rsidR="00025355">
        <w:rPr>
          <w:rFonts w:ascii="Arial" w:hAnsi="Arial" w:cs="Arial"/>
          <w:sz w:val="22"/>
          <w:vertAlign w:val="superscript"/>
        </w:rPr>
        <w:t>74</w:t>
      </w:r>
      <w:r w:rsidRPr="00506D2B" w:rsidR="00111B2B">
        <w:rPr>
          <w:rStyle w:val="normaltextrun"/>
          <w:rFonts w:ascii="Arial" w:hAnsi="Arial" w:cs="Arial" w:eastAsiaTheme="majorEastAsia"/>
          <w:color w:val="000000"/>
          <w:sz w:val="22"/>
          <w:szCs w:val="22"/>
        </w:rPr>
        <w:fldChar w:fldCharType="end"/>
      </w:r>
      <w:r w:rsidR="00111B2B">
        <w:rPr>
          <w:rStyle w:val="normaltextrun"/>
          <w:rFonts w:ascii="Arial" w:hAnsi="Arial" w:cs="Arial" w:eastAsiaTheme="majorEastAsia"/>
          <w:color w:val="000000"/>
          <w:sz w:val="22"/>
          <w:szCs w:val="22"/>
        </w:rPr>
        <w:t xml:space="preserve"> </w:t>
      </w:r>
      <w:r w:rsidRPr="00506D2B" w:rsidR="00111B2B">
        <w:rPr>
          <w:rFonts w:ascii="Arial" w:hAnsi="Arial" w:cs="Arial"/>
          <w:color w:val="000000"/>
          <w:sz w:val="22"/>
          <w:szCs w:val="22"/>
        </w:rPr>
        <w:t>Similarly, in lower-income and rural areas, dementia</w:t>
      </w:r>
      <w:r w:rsidRPr="00DD3983" w:rsidR="00111B2B">
        <w:rPr>
          <w:rFonts w:ascii="Arial" w:hAnsi="Arial" w:cs="Arial"/>
          <w:color w:val="000000"/>
          <w:sz w:val="22"/>
          <w:szCs w:val="22"/>
        </w:rPr>
        <w:t xml:space="preserve"> education remains limited, contributing to misconceptions that cognitive decline is an inevitable part of aging rather than a treatable medical condition</w:t>
      </w:r>
      <w:r w:rsidR="001843E3">
        <w:rPr>
          <w:rFonts w:ascii="Arial" w:hAnsi="Arial" w:cs="Arial"/>
          <w:color w:val="000000"/>
          <w:sz w:val="22"/>
          <w:szCs w:val="22"/>
        </w:rPr>
        <w:t>.</w:t>
      </w:r>
      <w:r w:rsidR="00877409">
        <w:rPr>
          <w:rFonts w:ascii="Arial" w:hAnsi="Arial" w:cs="Arial"/>
          <w:color w:val="000000"/>
          <w:sz w:val="22"/>
          <w:szCs w:val="22"/>
        </w:rPr>
        <w:fldChar w:fldCharType="begin"/>
      </w:r>
      <w:r w:rsidR="00025355">
        <w:rPr>
          <w:rFonts w:ascii="Arial" w:hAnsi="Arial" w:cs="Arial"/>
          <w:color w:val="000000"/>
          <w:sz w:val="22"/>
          <w:szCs w:val="22"/>
        </w:rPr>
        <w:instrText xml:space="preserve"> ADDIN ZOTERO_ITEM CSL_CITATION {"citationID":"eq7YEcxw","properties":{"formattedCitation":"\\super 74\\nosupersub{}","plainCitation":"74","noteIndex":0},"citationItems":[{"id":"7XVybpWP/3A8KLjeW","uris":["http://zotero.org/users/14808070/items/HKX7BSSJ"],"itemData":{"id":1073,"type":"article-journal","abstract":"Alzheimer's disease and related dementias (AD/ADRD) disparities exist in the rapidly growing and extremely heterogeneous Asian American and Native Hawaiian and Pacific Islander (NH/PI) ageing populations in the United States. Limited community-clinical resources supporting culturally competent and timely diagnosis exacerbate barriers to existing care services in these populations. Community-based participatory research or community-engaged research are proven community-academic research approaches that can support the development and implementation of community-focused programmes to maximise community benefit. The NYU Center for the Study of Asian American Health engaged our national and local community partners to gain a deeper understanding of AD/ADRD in this diverse and growing population, to develop a strategic community-engaged research agenda to understand, address and reduce AD/ADRD disparities among Asian American and NH/PI communities. Findings from an initial scoping review identified significant research gaps. We conducted a series of key informant interviews (n = 11) and a modified Delphi survey (n = 14) with Asian American and NH/PI community leaders and older adult service providers followed by a facilitated group discussion of survey findings to gain consensus on key priority research areas identified in the literature and to determine culturally and contextually appropriate approaches to support AD/ADRD prevention, early identification and treatment in Asian American and NH/PI communities. Future research and health education should focus on raising Asian American and NH/PI basic individual- and community-level awareness about AD/ADRD and leveraging existing community assets to integrate effective engagement strategies to access AD/ADRD services within the healthcare system.","container-title":"Health &amp; Social Care in the Community","DOI":"10.1111/hsc.14025","ISSN":"1365-2524","issue":"6","journalAbbreviation":"Health Soc Care Community","language":"eng","note":"PMID: 36102595\nPMCID: PMC10069713","page":"e5946-e5958","source":"PubMed","title":"Exploring community knowledge, attitudes and perceptions of Alzheimer's Disease/Alzheimer's Disease-Related Dementias and healthy ageing in Asian American, Native Hawaiian and Pacific Islanders","volume":"30","author":[{"family":"Wong","given":"Jennifer A."},{"family":"Min","given":"Deborah K."},{"family":"Kranick","given":"Julie"},{"family":"Ushasri","given":"Harini"},{"family":"Trinh-Shevrin","given":"Chau"},{"family":"Kwon","given":"Simona C."}],"issued":{"date-parts":[["2022",11]]}}}],"schema":"https://github.com/citation-style-language/schema/raw/master/csl-citation.json"} </w:instrText>
      </w:r>
      <w:r w:rsidR="00877409">
        <w:rPr>
          <w:rFonts w:ascii="Arial" w:hAnsi="Arial" w:cs="Arial"/>
          <w:color w:val="000000"/>
          <w:sz w:val="22"/>
          <w:szCs w:val="22"/>
        </w:rPr>
        <w:fldChar w:fldCharType="separate"/>
      </w:r>
      <w:r w:rsidRPr="00025355" w:rsidR="00025355">
        <w:rPr>
          <w:rFonts w:ascii="Arial" w:hAnsi="Arial" w:cs="Arial"/>
          <w:sz w:val="22"/>
          <w:vertAlign w:val="superscript"/>
        </w:rPr>
        <w:t>74</w:t>
      </w:r>
      <w:r w:rsidR="00877409">
        <w:rPr>
          <w:rFonts w:ascii="Arial" w:hAnsi="Arial" w:cs="Arial"/>
          <w:color w:val="000000"/>
          <w:sz w:val="22"/>
          <w:szCs w:val="22"/>
        </w:rPr>
        <w:fldChar w:fldCharType="end"/>
      </w:r>
      <w:r w:rsidRPr="005B26C3" w:rsidR="001843E3">
        <w:rPr>
          <w:rStyle w:val="eop"/>
          <w:rFonts w:ascii="Arial" w:hAnsi="Arial" w:cs="Arial"/>
          <w:color w:val="000000" w:themeColor="text1"/>
          <w:sz w:val="22"/>
          <w:szCs w:val="22"/>
        </w:rPr>
        <w:t xml:space="preserve"> </w:t>
      </w:r>
    </w:p>
    <w:p w:rsidRPr="00DD3983" w:rsidR="005F171E" w:rsidP="00F6306A" w:rsidRDefault="005F171E" w14:paraId="46425600" w14:textId="77777777">
      <w:pPr>
        <w:pStyle w:val="Heading1"/>
        <w:spacing w:before="0"/>
      </w:pPr>
      <w:r w:rsidRPr="00DD3983">
        <w:t>Discussion</w:t>
      </w:r>
    </w:p>
    <w:p w:rsidRPr="00DD3983" w:rsidR="005F171E" w:rsidP="00F6306A" w:rsidRDefault="005F171E" w14:paraId="79EA1BE2" w14:textId="3361BF7A">
      <w:pPr>
        <w:pStyle w:val="paragraph"/>
        <w:spacing w:before="0" w:beforeAutospacing="0" w:after="0"/>
        <w:jc w:val="both"/>
        <w:textAlignment w:val="baseline"/>
        <w:rPr>
          <w:rFonts w:ascii="Arial" w:hAnsi="Arial" w:cs="Arial" w:eastAsiaTheme="majorEastAsia"/>
          <w:color w:val="000000"/>
          <w:sz w:val="22"/>
          <w:szCs w:val="22"/>
        </w:rPr>
      </w:pPr>
      <w:r w:rsidRPr="00DD3983">
        <w:rPr>
          <w:rFonts w:ascii="Arial" w:hAnsi="Arial" w:cs="Arial" w:eastAsiaTheme="majorEastAsia"/>
          <w:color w:val="000000"/>
          <w:sz w:val="22"/>
          <w:szCs w:val="22"/>
        </w:rPr>
        <w:t xml:space="preserve">Our scoping review identified </w:t>
      </w:r>
      <w:r w:rsidRPr="00DD3983" w:rsidR="00810B06">
        <w:rPr>
          <w:rFonts w:ascii="Arial" w:hAnsi="Arial" w:cs="Arial" w:eastAsiaTheme="majorEastAsia"/>
          <w:color w:val="000000"/>
          <w:sz w:val="22"/>
          <w:szCs w:val="22"/>
        </w:rPr>
        <w:t xml:space="preserve">a total of </w:t>
      </w:r>
      <w:r w:rsidRPr="00DD3983">
        <w:rPr>
          <w:rFonts w:ascii="Arial" w:hAnsi="Arial" w:cs="Arial" w:eastAsiaTheme="majorEastAsia"/>
          <w:color w:val="000000"/>
          <w:sz w:val="22"/>
          <w:szCs w:val="22"/>
        </w:rPr>
        <w:t xml:space="preserve">151 papers addressing barriers to early AD diagnosis </w:t>
      </w:r>
      <w:r w:rsidRPr="00DD3983" w:rsidR="00DF5698">
        <w:rPr>
          <w:rFonts w:ascii="Arial" w:hAnsi="Arial" w:cs="Arial" w:eastAsiaTheme="majorEastAsia"/>
          <w:color w:val="000000"/>
          <w:sz w:val="22"/>
          <w:szCs w:val="22"/>
        </w:rPr>
        <w:t xml:space="preserve">which </w:t>
      </w:r>
      <w:proofErr w:type="gramStart"/>
      <w:r w:rsidRPr="00DD3983" w:rsidR="00DF5698">
        <w:rPr>
          <w:rFonts w:ascii="Arial" w:hAnsi="Arial" w:cs="Arial" w:eastAsiaTheme="majorEastAsia"/>
          <w:color w:val="000000"/>
          <w:sz w:val="22"/>
          <w:szCs w:val="22"/>
        </w:rPr>
        <w:t xml:space="preserve">were </w:t>
      </w:r>
      <w:r w:rsidRPr="00DD3983" w:rsidR="00F070F5">
        <w:rPr>
          <w:rFonts w:ascii="Arial" w:hAnsi="Arial" w:cs="Arial" w:eastAsiaTheme="majorEastAsia"/>
          <w:color w:val="000000"/>
          <w:sz w:val="22"/>
          <w:szCs w:val="22"/>
        </w:rPr>
        <w:t>found</w:t>
      </w:r>
      <w:proofErr w:type="gramEnd"/>
      <w:r w:rsidRPr="00DD3983" w:rsidR="00F070F5">
        <w:rPr>
          <w:rFonts w:ascii="Arial" w:hAnsi="Arial" w:cs="Arial" w:eastAsiaTheme="majorEastAsia"/>
          <w:color w:val="000000"/>
          <w:sz w:val="22"/>
          <w:szCs w:val="22"/>
        </w:rPr>
        <w:t xml:space="preserve"> </w:t>
      </w:r>
      <w:r w:rsidRPr="00DD3983" w:rsidR="005F1769">
        <w:rPr>
          <w:rFonts w:ascii="Arial" w:hAnsi="Arial" w:cs="Arial" w:eastAsiaTheme="majorEastAsia"/>
          <w:color w:val="000000"/>
          <w:sz w:val="22"/>
          <w:szCs w:val="22"/>
        </w:rPr>
        <w:t xml:space="preserve">we identified to fall </w:t>
      </w:r>
      <w:r w:rsidRPr="00DD3983" w:rsidR="008558BD">
        <w:rPr>
          <w:rFonts w:ascii="Arial" w:hAnsi="Arial" w:cs="Arial" w:eastAsiaTheme="majorEastAsia"/>
          <w:color w:val="000000"/>
          <w:sz w:val="22"/>
          <w:szCs w:val="22"/>
        </w:rPr>
        <w:t>within</w:t>
      </w:r>
      <w:r w:rsidRPr="00DD3983">
        <w:rPr>
          <w:rFonts w:ascii="Arial" w:hAnsi="Arial" w:cs="Arial" w:eastAsiaTheme="majorEastAsia"/>
          <w:color w:val="000000"/>
          <w:sz w:val="22"/>
          <w:szCs w:val="22"/>
        </w:rPr>
        <w:t xml:space="preserve"> three interdependent disciplines: biomedi</w:t>
      </w:r>
      <w:r w:rsidRPr="00DD3983" w:rsidR="009F32A9">
        <w:rPr>
          <w:rFonts w:ascii="Arial" w:hAnsi="Arial" w:cs="Arial" w:eastAsiaTheme="majorEastAsia"/>
          <w:color w:val="000000"/>
          <w:sz w:val="22"/>
          <w:szCs w:val="22"/>
        </w:rPr>
        <w:t>cine</w:t>
      </w:r>
      <w:r w:rsidRPr="00DD3983">
        <w:rPr>
          <w:rFonts w:ascii="Arial" w:hAnsi="Arial" w:cs="Arial" w:eastAsiaTheme="majorEastAsia"/>
          <w:color w:val="000000"/>
          <w:sz w:val="22"/>
          <w:szCs w:val="22"/>
        </w:rPr>
        <w:t>, neuropsycholog</w:t>
      </w:r>
      <w:r w:rsidRPr="00DD3983" w:rsidR="009F32A9">
        <w:rPr>
          <w:rFonts w:ascii="Arial" w:hAnsi="Arial" w:cs="Arial" w:eastAsiaTheme="majorEastAsia"/>
          <w:color w:val="000000"/>
          <w:sz w:val="22"/>
          <w:szCs w:val="22"/>
        </w:rPr>
        <w:t>y</w:t>
      </w:r>
      <w:r w:rsidRPr="00DD3983">
        <w:rPr>
          <w:rFonts w:ascii="Arial" w:hAnsi="Arial" w:cs="Arial" w:eastAsiaTheme="majorEastAsia"/>
          <w:color w:val="000000"/>
          <w:sz w:val="22"/>
          <w:szCs w:val="22"/>
        </w:rPr>
        <w:t>, and public health</w:t>
      </w:r>
      <w:r w:rsidRPr="00DD3983" w:rsidR="009F32A9">
        <w:rPr>
          <w:rFonts w:ascii="Arial" w:hAnsi="Arial" w:cs="Arial" w:eastAsiaTheme="majorEastAsia"/>
          <w:color w:val="000000"/>
          <w:sz w:val="22"/>
          <w:szCs w:val="22"/>
        </w:rPr>
        <w:t xml:space="preserve"> or </w:t>
      </w:r>
      <w:r w:rsidRPr="00DD3983" w:rsidR="009945A0">
        <w:rPr>
          <w:rFonts w:ascii="Arial" w:hAnsi="Arial" w:cs="Arial" w:eastAsiaTheme="majorEastAsia"/>
          <w:color w:val="000000"/>
          <w:sz w:val="22"/>
          <w:szCs w:val="22"/>
        </w:rPr>
        <w:t>policy</w:t>
      </w:r>
      <w:r w:rsidRPr="00DD3983">
        <w:rPr>
          <w:rFonts w:ascii="Arial" w:hAnsi="Arial" w:cs="Arial" w:eastAsiaTheme="majorEastAsia"/>
          <w:color w:val="000000"/>
          <w:sz w:val="22"/>
          <w:szCs w:val="22"/>
        </w:rPr>
        <w:t xml:space="preserve">. </w:t>
      </w:r>
      <w:r w:rsidRPr="00DD3983" w:rsidR="009E7C0D">
        <w:rPr>
          <w:rFonts w:ascii="Arial" w:hAnsi="Arial" w:cs="Arial" w:eastAsiaTheme="majorEastAsia"/>
          <w:color w:val="000000"/>
          <w:sz w:val="22"/>
          <w:szCs w:val="22"/>
        </w:rPr>
        <w:t>By taking an</w:t>
      </w:r>
      <w:r w:rsidRPr="00DD3983">
        <w:rPr>
          <w:rFonts w:ascii="Arial" w:hAnsi="Arial" w:cs="Arial" w:eastAsiaTheme="majorEastAsia"/>
          <w:color w:val="000000"/>
          <w:sz w:val="22"/>
          <w:szCs w:val="22"/>
        </w:rPr>
        <w:t xml:space="preserve"> interdisciplinary approach</w:t>
      </w:r>
      <w:r w:rsidRPr="00DD3983" w:rsidR="009E7C0D">
        <w:rPr>
          <w:rFonts w:ascii="Arial" w:hAnsi="Arial" w:cs="Arial" w:eastAsiaTheme="majorEastAsia"/>
          <w:color w:val="000000"/>
          <w:sz w:val="22"/>
          <w:szCs w:val="22"/>
        </w:rPr>
        <w:t>, we c</w:t>
      </w:r>
      <w:r w:rsidRPr="00DD3983" w:rsidR="00F74A16">
        <w:rPr>
          <w:rFonts w:ascii="Arial" w:hAnsi="Arial" w:cs="Arial" w:eastAsiaTheme="majorEastAsia"/>
          <w:color w:val="000000"/>
          <w:sz w:val="22"/>
          <w:szCs w:val="22"/>
        </w:rPr>
        <w:t>ould</w:t>
      </w:r>
      <w:r w:rsidRPr="00DD3983" w:rsidR="009E7C0D">
        <w:rPr>
          <w:rFonts w:ascii="Arial" w:hAnsi="Arial" w:cs="Arial" w:eastAsiaTheme="majorEastAsia"/>
          <w:color w:val="000000"/>
          <w:sz w:val="22"/>
          <w:szCs w:val="22"/>
        </w:rPr>
        <w:t xml:space="preserve"> accurately</w:t>
      </w:r>
      <w:r w:rsidRPr="00DD3983">
        <w:rPr>
          <w:rFonts w:ascii="Arial" w:hAnsi="Arial" w:cs="Arial" w:eastAsiaTheme="majorEastAsia"/>
          <w:color w:val="000000"/>
          <w:sz w:val="22"/>
          <w:szCs w:val="22"/>
        </w:rPr>
        <w:t xml:space="preserve"> reflect the inherent complexity of AD diagnosis, which necessitates integration across molecular, cognitive, and societal levels. By examining</w:t>
      </w:r>
      <w:r w:rsidRPr="00DD3983" w:rsidR="004C125B">
        <w:rPr>
          <w:rFonts w:ascii="Arial" w:hAnsi="Arial" w:cs="Arial" w:eastAsiaTheme="majorEastAsia"/>
          <w:color w:val="000000"/>
          <w:sz w:val="22"/>
          <w:szCs w:val="22"/>
        </w:rPr>
        <w:t xml:space="preserve"> limitations</w:t>
      </w:r>
      <w:r w:rsidRPr="00DD3983">
        <w:rPr>
          <w:rFonts w:ascii="Arial" w:hAnsi="Arial" w:cs="Arial" w:eastAsiaTheme="majorEastAsia"/>
          <w:color w:val="000000"/>
          <w:sz w:val="22"/>
          <w:szCs w:val="22"/>
        </w:rPr>
        <w:t xml:space="preserve"> within each d</w:t>
      </w:r>
      <w:r w:rsidRPr="00DD3983" w:rsidR="009945A0">
        <w:rPr>
          <w:rFonts w:ascii="Arial" w:hAnsi="Arial" w:cs="Arial" w:eastAsiaTheme="majorEastAsia"/>
          <w:color w:val="000000"/>
          <w:sz w:val="22"/>
          <w:szCs w:val="22"/>
        </w:rPr>
        <w:t>iscipline</w:t>
      </w:r>
      <w:r w:rsidRPr="00DD3983">
        <w:rPr>
          <w:rFonts w:ascii="Arial" w:hAnsi="Arial" w:cs="Arial" w:eastAsiaTheme="majorEastAsia"/>
          <w:color w:val="000000"/>
          <w:sz w:val="22"/>
          <w:szCs w:val="22"/>
        </w:rPr>
        <w:t xml:space="preserve"> and identifying cross-cutting themes</w:t>
      </w:r>
      <w:r w:rsidRPr="00DD3983" w:rsidR="007D636B">
        <w:rPr>
          <w:rFonts w:ascii="Arial" w:hAnsi="Arial" w:cs="Arial" w:eastAsiaTheme="majorEastAsia"/>
          <w:color w:val="000000"/>
          <w:sz w:val="22"/>
          <w:szCs w:val="22"/>
        </w:rPr>
        <w:t xml:space="preserve">, </w:t>
      </w:r>
      <w:r w:rsidRPr="00DD3983" w:rsidR="00077C13">
        <w:rPr>
          <w:rFonts w:ascii="Arial" w:hAnsi="Arial" w:cs="Arial" w:eastAsiaTheme="majorEastAsia"/>
          <w:color w:val="000000"/>
          <w:sz w:val="22"/>
          <w:szCs w:val="22"/>
        </w:rPr>
        <w:t>we</w:t>
      </w:r>
      <w:r w:rsidRPr="00DD3983" w:rsidR="00D81F90">
        <w:rPr>
          <w:rFonts w:ascii="Arial" w:hAnsi="Arial" w:cs="Arial" w:eastAsiaTheme="majorEastAsia"/>
          <w:color w:val="000000"/>
          <w:sz w:val="22"/>
          <w:szCs w:val="22"/>
        </w:rPr>
        <w:t xml:space="preserve"> revealed </w:t>
      </w:r>
      <w:r w:rsidRPr="00DD3983" w:rsidR="0077568F">
        <w:rPr>
          <w:rFonts w:ascii="Arial" w:hAnsi="Arial" w:cs="Arial" w:eastAsiaTheme="majorEastAsia"/>
          <w:color w:val="000000"/>
          <w:sz w:val="22"/>
          <w:szCs w:val="22"/>
        </w:rPr>
        <w:t>a</w:t>
      </w:r>
      <w:r w:rsidRPr="00DD3983" w:rsidR="00D81F90">
        <w:rPr>
          <w:rFonts w:ascii="Arial" w:hAnsi="Arial" w:cs="Arial" w:eastAsiaTheme="majorEastAsia"/>
          <w:color w:val="000000"/>
          <w:sz w:val="22"/>
          <w:szCs w:val="22"/>
        </w:rPr>
        <w:t xml:space="preserve"> </w:t>
      </w:r>
      <w:r w:rsidRPr="00DD3983" w:rsidR="005448C9">
        <w:rPr>
          <w:rFonts w:ascii="Arial" w:hAnsi="Arial" w:cs="Arial" w:eastAsiaTheme="majorEastAsia"/>
          <w:color w:val="000000"/>
          <w:sz w:val="22"/>
          <w:szCs w:val="22"/>
        </w:rPr>
        <w:t xml:space="preserve">heterogenous </w:t>
      </w:r>
      <w:r w:rsidRPr="00DD3983" w:rsidR="000B1A37">
        <w:rPr>
          <w:rFonts w:ascii="Arial" w:hAnsi="Arial" w:cs="Arial" w:eastAsiaTheme="majorEastAsia"/>
          <w:color w:val="000000"/>
          <w:sz w:val="22"/>
          <w:szCs w:val="22"/>
        </w:rPr>
        <w:t xml:space="preserve">set of </w:t>
      </w:r>
      <w:r w:rsidRPr="00DD3983" w:rsidR="00335C84">
        <w:rPr>
          <w:rFonts w:ascii="Arial" w:hAnsi="Arial" w:cs="Arial" w:eastAsiaTheme="majorEastAsia"/>
          <w:color w:val="000000"/>
          <w:sz w:val="22"/>
          <w:szCs w:val="22"/>
        </w:rPr>
        <w:t>barriers</w:t>
      </w:r>
      <w:r w:rsidRPr="00DD3983" w:rsidR="000B1A37">
        <w:rPr>
          <w:rFonts w:ascii="Arial" w:hAnsi="Arial" w:cs="Arial" w:eastAsiaTheme="majorEastAsia"/>
          <w:color w:val="000000"/>
          <w:sz w:val="22"/>
          <w:szCs w:val="22"/>
        </w:rPr>
        <w:t xml:space="preserve"> </w:t>
      </w:r>
      <w:r w:rsidRPr="00DD3983" w:rsidR="00EB1E62">
        <w:rPr>
          <w:rFonts w:ascii="Arial" w:hAnsi="Arial" w:cs="Arial" w:eastAsiaTheme="majorEastAsia"/>
          <w:color w:val="000000"/>
          <w:sz w:val="22"/>
          <w:szCs w:val="22"/>
        </w:rPr>
        <w:t>that</w:t>
      </w:r>
      <w:r w:rsidRPr="00DD3983" w:rsidR="004C125B">
        <w:rPr>
          <w:rFonts w:ascii="Arial" w:hAnsi="Arial" w:cs="Arial" w:eastAsiaTheme="majorEastAsia"/>
          <w:color w:val="000000"/>
          <w:sz w:val="22"/>
          <w:szCs w:val="22"/>
        </w:rPr>
        <w:t xml:space="preserve"> can</w:t>
      </w:r>
      <w:r w:rsidRPr="00DD3983" w:rsidR="00EB1E62">
        <w:rPr>
          <w:rFonts w:ascii="Arial" w:hAnsi="Arial" w:cs="Arial" w:eastAsiaTheme="majorEastAsia"/>
          <w:color w:val="000000"/>
          <w:sz w:val="22"/>
          <w:szCs w:val="22"/>
        </w:rPr>
        <w:t xml:space="preserve"> </w:t>
      </w:r>
      <w:r w:rsidRPr="00DD3983" w:rsidR="007D590E">
        <w:rPr>
          <w:rFonts w:ascii="Arial" w:hAnsi="Arial" w:cs="Arial" w:eastAsiaTheme="majorEastAsia"/>
          <w:color w:val="000000"/>
          <w:sz w:val="22"/>
          <w:szCs w:val="22"/>
        </w:rPr>
        <w:t>interact</w:t>
      </w:r>
      <w:r w:rsidRPr="00DD3983" w:rsidR="008F6D8A">
        <w:rPr>
          <w:rFonts w:ascii="Arial" w:hAnsi="Arial" w:cs="Arial" w:eastAsiaTheme="majorEastAsia"/>
          <w:color w:val="000000"/>
          <w:sz w:val="22"/>
          <w:szCs w:val="22"/>
        </w:rPr>
        <w:t xml:space="preserve"> </w:t>
      </w:r>
      <w:r w:rsidRPr="00DD3983" w:rsidR="004C125B">
        <w:rPr>
          <w:rFonts w:ascii="Arial" w:hAnsi="Arial" w:cs="Arial" w:eastAsiaTheme="majorEastAsia"/>
          <w:color w:val="000000"/>
          <w:sz w:val="22"/>
          <w:szCs w:val="22"/>
        </w:rPr>
        <w:t xml:space="preserve">and compound </w:t>
      </w:r>
      <w:r w:rsidRPr="00DD3983" w:rsidR="008F6D8A">
        <w:rPr>
          <w:rFonts w:ascii="Arial" w:hAnsi="Arial" w:cs="Arial" w:eastAsiaTheme="majorEastAsia"/>
          <w:color w:val="000000"/>
          <w:sz w:val="22"/>
          <w:szCs w:val="22"/>
        </w:rPr>
        <w:t>between</w:t>
      </w:r>
      <w:r w:rsidRPr="00DD3983" w:rsidR="007D590E">
        <w:rPr>
          <w:rFonts w:ascii="Arial" w:hAnsi="Arial" w:cs="Arial" w:eastAsiaTheme="majorEastAsia"/>
          <w:color w:val="000000"/>
          <w:sz w:val="22"/>
          <w:szCs w:val="22"/>
        </w:rPr>
        <w:t xml:space="preserve"> </w:t>
      </w:r>
      <w:r w:rsidRPr="00DD3983" w:rsidR="00FD56D2">
        <w:rPr>
          <w:rFonts w:ascii="Arial" w:hAnsi="Arial" w:cs="Arial" w:eastAsiaTheme="majorEastAsia"/>
          <w:color w:val="000000"/>
          <w:sz w:val="22"/>
          <w:szCs w:val="22"/>
        </w:rPr>
        <w:t>distinct</w:t>
      </w:r>
      <w:r w:rsidRPr="00DD3983" w:rsidR="008F6D8A">
        <w:rPr>
          <w:rFonts w:ascii="Arial" w:hAnsi="Arial" w:cs="Arial" w:eastAsiaTheme="majorEastAsia"/>
          <w:color w:val="000000"/>
          <w:sz w:val="22"/>
          <w:szCs w:val="22"/>
        </w:rPr>
        <w:t xml:space="preserve"> disciplines</w:t>
      </w:r>
      <w:r w:rsidRPr="00DD3983" w:rsidR="00C04873">
        <w:rPr>
          <w:rFonts w:ascii="Arial" w:hAnsi="Arial" w:cs="Arial" w:eastAsiaTheme="majorEastAsia"/>
          <w:color w:val="000000"/>
          <w:sz w:val="22"/>
          <w:szCs w:val="22"/>
        </w:rPr>
        <w:t xml:space="preserve">. We additionally </w:t>
      </w:r>
      <w:r w:rsidRPr="00DD3983" w:rsidR="004C125B">
        <w:rPr>
          <w:rFonts w:ascii="Arial" w:hAnsi="Arial" w:cs="Arial" w:eastAsiaTheme="majorEastAsia"/>
          <w:color w:val="000000"/>
          <w:sz w:val="22"/>
          <w:szCs w:val="22"/>
        </w:rPr>
        <w:t>identified cost and generalizability as barriers</w:t>
      </w:r>
      <w:r w:rsidRPr="00DD3983" w:rsidR="005A65E7">
        <w:rPr>
          <w:rFonts w:ascii="Arial" w:hAnsi="Arial" w:cs="Arial" w:eastAsiaTheme="majorEastAsia"/>
          <w:color w:val="000000"/>
          <w:sz w:val="22"/>
          <w:szCs w:val="22"/>
        </w:rPr>
        <w:t xml:space="preserve"> that </w:t>
      </w:r>
      <w:r w:rsidRPr="00DD3983" w:rsidR="00D14E50">
        <w:rPr>
          <w:rFonts w:ascii="Arial" w:hAnsi="Arial" w:cs="Arial" w:eastAsiaTheme="majorEastAsia"/>
          <w:color w:val="000000"/>
          <w:sz w:val="22"/>
          <w:szCs w:val="22"/>
        </w:rPr>
        <w:t>prevail across all</w:t>
      </w:r>
      <w:r w:rsidRPr="00DD3983" w:rsidR="00A61798">
        <w:rPr>
          <w:rFonts w:ascii="Arial" w:hAnsi="Arial" w:cs="Arial" w:eastAsiaTheme="majorEastAsia"/>
          <w:color w:val="000000"/>
          <w:sz w:val="22"/>
          <w:szCs w:val="22"/>
        </w:rPr>
        <w:t xml:space="preserve"> major disciplines related</w:t>
      </w:r>
      <w:r w:rsidRPr="00DD3983" w:rsidR="008219EF">
        <w:rPr>
          <w:rFonts w:ascii="Arial" w:hAnsi="Arial" w:cs="Arial" w:eastAsiaTheme="majorEastAsia"/>
          <w:color w:val="000000"/>
          <w:sz w:val="22"/>
          <w:szCs w:val="22"/>
        </w:rPr>
        <w:t xml:space="preserve"> </w:t>
      </w:r>
      <w:r w:rsidRPr="00DD3983" w:rsidR="005F58FF">
        <w:rPr>
          <w:rFonts w:ascii="Arial" w:hAnsi="Arial" w:cs="Arial" w:eastAsiaTheme="majorEastAsia"/>
          <w:color w:val="000000"/>
          <w:sz w:val="22"/>
          <w:szCs w:val="22"/>
        </w:rPr>
        <w:t>to</w:t>
      </w:r>
      <w:r w:rsidRPr="00DD3983" w:rsidR="00464C91">
        <w:rPr>
          <w:rFonts w:ascii="Arial" w:hAnsi="Arial" w:cs="Arial" w:eastAsiaTheme="majorEastAsia"/>
          <w:color w:val="000000"/>
          <w:sz w:val="22"/>
          <w:szCs w:val="22"/>
        </w:rPr>
        <w:t xml:space="preserve"> achieving a timely diagnosis of AD.</w:t>
      </w:r>
      <w:r w:rsidRPr="00DD3983" w:rsidR="00F2634B">
        <w:rPr>
          <w:rFonts w:ascii="Arial" w:hAnsi="Arial" w:cs="Arial" w:eastAsiaTheme="majorEastAsia"/>
          <w:color w:val="000000"/>
          <w:sz w:val="22"/>
          <w:szCs w:val="22"/>
        </w:rPr>
        <w:t xml:space="preserve"> </w:t>
      </w:r>
      <w:r w:rsidRPr="00DD3983" w:rsidR="005B56B2">
        <w:rPr>
          <w:rFonts w:ascii="Arial" w:hAnsi="Arial" w:cs="Arial" w:eastAsiaTheme="majorEastAsia"/>
          <w:color w:val="000000"/>
          <w:sz w:val="22"/>
          <w:szCs w:val="22"/>
        </w:rPr>
        <w:t>This interdependence highlights the need for coordinated approaches that span traditional disciplinary boundaries and better align with the evolving diagnostic pathway, especially in light of new evidence that AD dementia may be far more preventable has been traditionally thought when targeting modifiable risk factors</w:t>
      </w:r>
      <w:r w:rsidR="000E6403">
        <w:rPr>
          <w:rFonts w:ascii="Arial" w:hAnsi="Arial" w:cs="Arial" w:eastAsiaTheme="majorEastAsia"/>
          <w:color w:val="000000"/>
          <w:sz w:val="22"/>
          <w:szCs w:val="22"/>
        </w:rPr>
        <w:t>.</w:t>
      </w:r>
      <w:r w:rsidRPr="00DD3983" w:rsidR="005B56B2">
        <w:rPr>
          <w:rFonts w:ascii="Arial" w:hAnsi="Arial" w:cs="Arial" w:eastAsiaTheme="majorEastAsia"/>
          <w:color w:val="000000"/>
          <w:sz w:val="22"/>
          <w:szCs w:val="22"/>
        </w:rPr>
        <w:fldChar w:fldCharType="begin"/>
      </w:r>
      <w:r w:rsidR="00025355">
        <w:rPr>
          <w:rFonts w:ascii="Arial" w:hAnsi="Arial" w:cs="Arial" w:eastAsiaTheme="majorEastAsia"/>
          <w:color w:val="000000"/>
          <w:sz w:val="22"/>
          <w:szCs w:val="22"/>
        </w:rPr>
        <w:instrText xml:space="preserve"> ADDIN ZOTERO_ITEM CSL_CITATION {"citationID":"gw5KDfhY","properties":{"formattedCitation":"\\super 11\\nosupersub{}","plainCitation":"11","noteIndex":0},"citationItems":[{"id":1976,"uris":["http://zotero.org/users/10927406/items/PP4RMC87"],"itemData":{"id":1976,"type":"article-journal","container-title":"The Lancet","DOI":"10.1016/S0140-6736(24)01296-0","ISSN":"0140-6736, 1474-547X","issue":"10452","journalAbbreviation":"The Lancet","language":"English","note":"publisher: Elsevier\nPMID: 39096926","page":"572-628","source":"www.thelancet.com","title":"Dementia prevention, intervention, and care: 2024 report of the Lancet standing Commission","title-short":"Dementia prevention, intervention, and care","volume":"404","author":[{"family":"Livingston","given":"Gill"},{"family":"Huntley","given":"Jonathan"},{"family":"Liu","given":"Kathy Y."},{"family":"Costafreda","given":"Sergi G."},{"family":"Selbæk","given":"Geir"},{"family":"Alladi","given":"Suvarna"},{"family":"Ames","given":"David"},{"family":"Banerjee","given":"Sube"},{"family":"Burns","given":"Alistair"},{"family":"Brayne","given":"Carol"},{"family":"Fox","given":"Nick C."},{"family":"Ferri","given":"Cleusa P."},{"family":"Gitlin","given":"Laura N."},{"family":"Howard","given":"Robert"},{"family":"Kales","given":"Helen C."},{"family":"Kivimäki","given":"Mika"},{"family":"Larson","given":"Eric B."},{"family":"Nakasujja","given":"Noeline"},{"family":"Rockwood","given":"Kenneth"},{"family":"Samus","given":"Quincy"},{"family":"Shirai","given":"Kokoro"},{"family":"Singh-Manoux","given":"Archana"},{"family":"Schneider","given":"Lon S."},{"family":"Walsh","given":"Sebastian"},{"family":"Yao","given":"Yao"},{"family":"Sommerlad","given":"Andrew"},{"family":"Mukadam","given":"Naaheed"}],"issued":{"date-parts":[["2024",8,10]]}}}],"schema":"https://github.com/citation-style-language/schema/raw/master/csl-citation.json"} </w:instrText>
      </w:r>
      <w:r w:rsidRPr="00DD3983" w:rsidR="005B56B2">
        <w:rPr>
          <w:rFonts w:ascii="Arial" w:hAnsi="Arial" w:cs="Arial" w:eastAsiaTheme="majorEastAsia"/>
          <w:color w:val="000000"/>
          <w:sz w:val="22"/>
          <w:szCs w:val="22"/>
        </w:rPr>
        <w:fldChar w:fldCharType="separate"/>
      </w:r>
      <w:r w:rsidRPr="00025355" w:rsidR="00025355">
        <w:rPr>
          <w:rFonts w:ascii="Arial" w:hAnsi="Arial" w:cs="Arial"/>
          <w:sz w:val="22"/>
          <w:vertAlign w:val="superscript"/>
        </w:rPr>
        <w:t>11</w:t>
      </w:r>
      <w:r w:rsidRPr="00DD3983" w:rsidR="005B56B2">
        <w:rPr>
          <w:rFonts w:ascii="Arial" w:hAnsi="Arial" w:cs="Arial" w:eastAsiaTheme="majorEastAsia"/>
          <w:color w:val="000000"/>
          <w:sz w:val="22"/>
          <w:szCs w:val="22"/>
        </w:rPr>
        <w:fldChar w:fldCharType="end"/>
      </w:r>
    </w:p>
    <w:p w:rsidRPr="00DD3983" w:rsidR="00916F8D" w:rsidP="006618CC" w:rsidRDefault="00D2166A" w14:paraId="34E33D71" w14:textId="049B2AE7">
      <w:pPr>
        <w:pStyle w:val="paragraph"/>
        <w:spacing w:before="0" w:after="0"/>
        <w:jc w:val="both"/>
        <w:textAlignment w:val="baseline"/>
        <w:rPr>
          <w:rFonts w:ascii="Arial" w:hAnsi="Arial" w:cs="Arial" w:eastAsiaTheme="majorEastAsia"/>
          <w:color w:val="000000"/>
          <w:sz w:val="22"/>
          <w:szCs w:val="22"/>
        </w:rPr>
      </w:pPr>
      <w:r w:rsidRPr="00DD3983">
        <w:rPr>
          <w:rFonts w:ascii="Arial" w:hAnsi="Arial" w:cs="Arial" w:eastAsiaTheme="majorEastAsia"/>
          <w:color w:val="000000"/>
          <w:sz w:val="22"/>
          <w:szCs w:val="22"/>
        </w:rPr>
        <w:t>The first</w:t>
      </w:r>
      <w:r w:rsidRPr="00DD3983" w:rsidR="005F171E">
        <w:rPr>
          <w:rFonts w:ascii="Arial" w:hAnsi="Arial" w:cs="Arial" w:eastAsiaTheme="majorEastAsia"/>
          <w:color w:val="000000"/>
          <w:sz w:val="22"/>
          <w:szCs w:val="22"/>
        </w:rPr>
        <w:t xml:space="preserve"> key finding of our review is that barriers within one discipline frequently compound challenges in others, creating a cascade effect that </w:t>
      </w:r>
      <w:r w:rsidRPr="00DD3983" w:rsidR="00BB145B">
        <w:rPr>
          <w:rFonts w:ascii="Arial" w:hAnsi="Arial" w:cs="Arial" w:eastAsiaTheme="majorEastAsia"/>
          <w:color w:val="000000"/>
          <w:sz w:val="22"/>
          <w:szCs w:val="22"/>
        </w:rPr>
        <w:t>consequently impedes</w:t>
      </w:r>
      <w:r w:rsidRPr="00DD3983" w:rsidR="00B724B2">
        <w:rPr>
          <w:rFonts w:ascii="Arial" w:hAnsi="Arial" w:cs="Arial" w:eastAsiaTheme="majorEastAsia"/>
          <w:color w:val="000000"/>
          <w:sz w:val="22"/>
          <w:szCs w:val="22"/>
        </w:rPr>
        <w:t xml:space="preserve"> early AD diagnosis</w:t>
      </w:r>
      <w:r w:rsidRPr="00DD3983" w:rsidR="005F171E">
        <w:rPr>
          <w:rFonts w:ascii="Arial" w:hAnsi="Arial" w:cs="Arial" w:eastAsiaTheme="majorEastAsia"/>
          <w:color w:val="000000"/>
          <w:sz w:val="22"/>
          <w:szCs w:val="22"/>
        </w:rPr>
        <w:t xml:space="preserve">. For instance, biomedical innovations like blood-based biomarkers require appropriate cognitive assessments for proper interpretation and </w:t>
      </w:r>
      <w:r w:rsidRPr="00DD3983" w:rsidR="002F2AF7">
        <w:rPr>
          <w:rFonts w:ascii="Arial" w:hAnsi="Arial" w:cs="Arial" w:eastAsiaTheme="majorEastAsia"/>
          <w:color w:val="000000"/>
          <w:sz w:val="22"/>
          <w:szCs w:val="22"/>
        </w:rPr>
        <w:t>validation</w:t>
      </w:r>
      <w:r w:rsidRPr="00DD3983" w:rsidR="005F171E">
        <w:rPr>
          <w:rFonts w:ascii="Arial" w:hAnsi="Arial" w:cs="Arial" w:eastAsiaTheme="majorEastAsia"/>
          <w:color w:val="000000"/>
          <w:sz w:val="22"/>
          <w:szCs w:val="22"/>
        </w:rPr>
        <w:t xml:space="preserve">, while both </w:t>
      </w:r>
      <w:r w:rsidRPr="00DD3983" w:rsidR="00335C84">
        <w:rPr>
          <w:rFonts w:ascii="Arial" w:hAnsi="Arial" w:cs="Arial" w:eastAsiaTheme="majorEastAsia"/>
          <w:color w:val="000000"/>
          <w:sz w:val="22"/>
          <w:szCs w:val="22"/>
        </w:rPr>
        <w:t>rely</w:t>
      </w:r>
      <w:r w:rsidRPr="00DD3983" w:rsidR="005F171E">
        <w:rPr>
          <w:rFonts w:ascii="Arial" w:hAnsi="Arial" w:cs="Arial" w:eastAsiaTheme="majorEastAsia"/>
          <w:color w:val="000000"/>
          <w:sz w:val="22"/>
          <w:szCs w:val="22"/>
        </w:rPr>
        <w:t xml:space="preserve"> public health infrastructure for</w:t>
      </w:r>
      <w:r w:rsidRPr="00DD3983" w:rsidR="00B61EF7">
        <w:rPr>
          <w:rFonts w:ascii="Arial" w:hAnsi="Arial" w:cs="Arial" w:eastAsiaTheme="majorEastAsia"/>
          <w:color w:val="000000"/>
          <w:sz w:val="22"/>
          <w:szCs w:val="22"/>
        </w:rPr>
        <w:t xml:space="preserve"> access and</w:t>
      </w:r>
      <w:r w:rsidRPr="00DD3983" w:rsidR="005F171E">
        <w:rPr>
          <w:rFonts w:ascii="Arial" w:hAnsi="Arial" w:cs="Arial" w:eastAsiaTheme="majorEastAsia"/>
          <w:color w:val="000000"/>
          <w:sz w:val="22"/>
          <w:szCs w:val="22"/>
        </w:rPr>
        <w:t xml:space="preserve"> equitable implementation</w:t>
      </w:r>
      <w:r w:rsidR="00044CA5">
        <w:rPr>
          <w:rFonts w:ascii="Arial" w:hAnsi="Arial" w:cs="Arial" w:eastAsiaTheme="majorEastAsia"/>
          <w:color w:val="000000"/>
          <w:sz w:val="22"/>
          <w:szCs w:val="22"/>
        </w:rPr>
        <w:t>.</w:t>
      </w:r>
      <w:r w:rsidRPr="00506D2B" w:rsidR="00E76971">
        <w:rPr>
          <w:rStyle w:val="normaltextrun"/>
          <w:rFonts w:ascii="Arial" w:hAnsi="Arial" w:cs="Arial" w:eastAsiaTheme="majorEastAsia"/>
          <w:color w:val="000000"/>
          <w:sz w:val="22"/>
          <w:szCs w:val="22"/>
        </w:rPr>
        <w:fldChar w:fldCharType="begin"/>
      </w:r>
      <w:r w:rsidR="00025355">
        <w:rPr>
          <w:rStyle w:val="normaltextrun"/>
          <w:rFonts w:ascii="Arial" w:hAnsi="Arial" w:cs="Arial" w:eastAsiaTheme="majorEastAsia"/>
          <w:color w:val="000000"/>
          <w:sz w:val="22"/>
          <w:szCs w:val="22"/>
        </w:rPr>
        <w:instrText xml:space="preserve"> ADDIN ZOTERO_ITEM CSL_CITATION {"citationID":"Ld61MCF2","properties":{"formattedCitation":"\\super 68\\nosupersub{}","plainCitation":"68","noteIndex":0},"citationItems":[{"id":"7XVybpWP/1N4gOcW8","uris":["http://zotero.org/users/14808070/items/P3T3PBLS"],"itemData":{"id":1054,"type":"article-journal","abstract":"BACKGROUND: The significant increase in Alzheimer's disease and related dementia prevalence is a global health crisis, acutely impacting low- and lower-middle and upper-middle-income countries (LLMICs/UMICs).\nOBJECTIVE: The objective of this study is to identify key barriers and gaps in dementia care and research in LLMICs and UMICs.\nMETHODS: We conducted an international, cross-sectional survey among clinicians and healthcare professionals (n = 249 in 34 countries) across LLMICs and UMICs, exploring patient demographics, use of clinical diagnosis, dementia evaluation, screening/evaluation tools, and care and treatment.\nRESULTS: Significant disparities were found in diagnostic practices, access to assessments, and access to care. On average, clinicians in LLMICs saw more patients, had less time for evaluations, lower use of formal screening and tools, and less access to biomarkers. They were also under-resourced compared to UMICs.\nCONCLUSIONS: The findings provide insights for policymakers, healthcare organizations, and researchers to address the complex challenges associated with dementia care in diverse settings. Addressing these challenges requires a multipronged approach involving local, national, and international stakeholders.","container-title":"Journal of Alzheimer's disease: JAD","DOI":"10.3233/JAD-240650","ISSN":"1875-8908","issue":"4","journalAbbreviation":"J Alzheimers Dis","language":"eng","note":"PMID: 39302373","page":"1307-1320","source":"PubMed","title":"Identifying Gaps and Barriers in Alzheimer's Disease and Related Dementia Research and Management in Low- and Middle-Income Countries: A Survey of Health Professionals and Researchers","title-short":"Identifying Gaps and Barriers in Alzheimer's Disease and Related Dementia Research and Management in Low- and Middle-Income Countries","volume":"101","author":[{"family":"Babulal","given":"Ganesh M."},{"family":"Zha","given":"Wenqing"},{"family":"Trani","given":"Jean-Francois"},{"family":"Guerra","given":"Jorge Llibre"},{"family":"Tee","given":"Boon Lead"},{"family":"Zhu","given":"Yiqi"},{"family":"Chen","given":"Yaohua"},{"family":"Chen","given":"Ling"},{"family":"Bubu","given":"Michael"},{"family":"Josephy-Hernandez","given":"Sylvia"},{"family":"Wandera","given":"Stephen"},{"family":"Karanja","given":"Wambūi"},{"family":"Ellajosyula","given":"Ratnavalli"},{"family":"Caramelli","given":"Paulo"},{"literal":"Diversity and Disparity Professional Interest Area, Low-and-Middle-Income Working Group"}],"issued":{"date-parts":[["2024"]]}}}],"schema":"https://github.com/citation-style-language/schema/raw/master/csl-citation.json"} </w:instrText>
      </w:r>
      <w:r w:rsidRPr="00506D2B" w:rsidR="00E76971">
        <w:rPr>
          <w:rStyle w:val="normaltextrun"/>
          <w:rFonts w:ascii="Arial" w:hAnsi="Arial" w:cs="Arial" w:eastAsiaTheme="majorEastAsia"/>
          <w:color w:val="000000"/>
          <w:sz w:val="22"/>
          <w:szCs w:val="22"/>
        </w:rPr>
        <w:fldChar w:fldCharType="separate"/>
      </w:r>
      <w:r w:rsidRPr="00025355" w:rsidR="00025355">
        <w:rPr>
          <w:rFonts w:ascii="Arial" w:hAnsi="Arial" w:cs="Arial"/>
          <w:sz w:val="22"/>
          <w:vertAlign w:val="superscript"/>
        </w:rPr>
        <w:t>68</w:t>
      </w:r>
      <w:r w:rsidRPr="00506D2B" w:rsidR="00E76971">
        <w:rPr>
          <w:rStyle w:val="normaltextrun"/>
          <w:rFonts w:ascii="Arial" w:hAnsi="Arial" w:cs="Arial" w:eastAsiaTheme="majorEastAsia"/>
          <w:color w:val="000000"/>
          <w:sz w:val="22"/>
          <w:szCs w:val="22"/>
        </w:rPr>
        <w:fldChar w:fldCharType="end"/>
      </w:r>
      <w:r w:rsidR="00E76971">
        <w:rPr>
          <w:rStyle w:val="normaltextrun"/>
          <w:rFonts w:ascii="Arial" w:hAnsi="Arial" w:cs="Arial" w:eastAsiaTheme="majorEastAsia"/>
          <w:color w:val="000000"/>
          <w:sz w:val="22"/>
          <w:szCs w:val="22"/>
        </w:rPr>
        <w:t xml:space="preserve"> </w:t>
      </w:r>
      <w:r w:rsidRPr="00DD3983" w:rsidR="00E76971">
        <w:rPr>
          <w:rFonts w:ascii="Arial" w:hAnsi="Arial" w:cs="Arial"/>
          <w:sz w:val="22"/>
          <w:szCs w:val="22"/>
        </w:rPr>
        <w:fldChar w:fldCharType="begin"/>
      </w:r>
      <w:r w:rsidR="00025355">
        <w:rPr>
          <w:rFonts w:ascii="Arial" w:hAnsi="Arial" w:cs="Arial"/>
          <w:sz w:val="22"/>
          <w:szCs w:val="22"/>
        </w:rPr>
        <w:instrText xml:space="preserve"> ADDIN ZOTERO_ITEM CSL_CITATION {"citationID":"hm6urh4d","properties":{"formattedCitation":"\\super 48\\nosupersub{}","plainCitation":"48","noteIndex":0},"citationItems":[{"id":"7XVybpWP/xCu5OTAT","uris":["http://zotero.org/users/14808074/items/L38CGXCH"],"itemData":{"id":1016,"type":"article-journal","abstract":"OBJECTIVE: To examine the diagnostic accuracy of blood-based biomarkers for detecting Alzheimer's disease (AD) and amnestic mild cognitive impairment (aMCI).\nMETHODS: Seven electronic databases were comprehensively searched for studies evaluating the diagnostic accuracy of blood-based biomarkers for detecting AD or aMCI up to July 31, 2020. The pooled sensitivity, specificity, and the diagnostic odds ratio (DOR) were calculated using a hierarchical summary receiver operating characteristic model.\nRESULTS: A total of 17 studies (n = 2,083) were included. In differentiating patients with AD from the controls, the DOR was 32.2 for the plasma Aβ42 (sensitivity = 88 %, specificity = 81 %), 29.1 for the plasma Aβ oligomer (sensitivity = 80 %, specificity = 88 %), and 52.1 for the plasma tau (sensitivity = 90 %, specificity = 87 %). For differentiating aMCI from the controls, the DOR was 60.4 for the plasma Aβ42 (sensitivity = 86 %, specificity = 90 %) and 49.1 for the plasma tau (sensitivity = 79 %, specificity = 94 %). The use of ultra-high sensitive technology explained the heterogeneity in the diagnostic performance of blood-based biomarkers (P =  .01).\nCONCLUSIONS: We suggest that blood-based biomarkers are minimally invasive and cost-effective tools for detecting AD; however, the evidence for detecting aMCI was still limited.","container-title":"Ageing Research Reviews","DOI":"10.1016/j.arr.2021.101446","ISSN":"1872-9649","journalAbbreviation":"Ageing Res Rev","language":"eng","note":"PMID: 34391944","page":"101446","source":"PubMed","title":"Diagnostic accuracy of blood biomarkers for Alzheimer's disease and amnestic mild cognitive impairment: A meta-analysis","title-short":"Diagnostic accuracy of blood biomarkers for Alzheimer's disease and amnestic mild cognitive impairment","volume":"71","author":[{"family":"Chen","given":"Ying-Ren"},{"family":"Liang","given":"Chih-Sung"},{"family":"Chu","given":"Hsin"},{"family":"Voss","given":"Joachim"},{"family":"Kang","given":"Xiao Linda"},{"family":"O'Connell","given":"Grant"},{"family":"Jen","given":"Hsiu-Ju"},{"family":"Liu","given":"Doresses"},{"family":"Shen Hsiao","given":"Shu-Tai"},{"family":"Chou","given":"Kuei-Ru"}],"issued":{"date-parts":[["2021",11]]}}}],"schema":"https://github.com/citation-style-language/schema/raw/master/csl-citation.json"} </w:instrText>
      </w:r>
      <w:r w:rsidRPr="00DD3983" w:rsidR="00E76971">
        <w:rPr>
          <w:rFonts w:ascii="Arial" w:hAnsi="Arial" w:cs="Arial"/>
          <w:sz w:val="22"/>
          <w:szCs w:val="22"/>
        </w:rPr>
        <w:fldChar w:fldCharType="separate"/>
      </w:r>
      <w:r w:rsidRPr="00025355" w:rsidR="00025355">
        <w:rPr>
          <w:rFonts w:ascii="Arial" w:hAnsi="Arial" w:cs="Arial"/>
          <w:sz w:val="22"/>
          <w:vertAlign w:val="superscript"/>
        </w:rPr>
        <w:t>48</w:t>
      </w:r>
      <w:r w:rsidRPr="00DD3983" w:rsidR="00E76971">
        <w:rPr>
          <w:rFonts w:ascii="Arial" w:hAnsi="Arial" w:cs="Arial"/>
          <w:sz w:val="22"/>
          <w:szCs w:val="22"/>
        </w:rPr>
        <w:fldChar w:fldCharType="end"/>
      </w:r>
      <w:r w:rsidR="001052EA">
        <w:rPr>
          <w:rFonts w:ascii="Arial" w:hAnsi="Arial" w:cs="Arial" w:eastAsiaTheme="majorEastAsia"/>
          <w:sz w:val="22"/>
          <w:szCs w:val="22"/>
        </w:rPr>
        <w:t xml:space="preserve"> </w:t>
      </w:r>
      <w:r w:rsidRPr="00DD3983" w:rsidR="001052EA">
        <w:rPr>
          <w:rFonts w:ascii="Arial" w:hAnsi="Arial" w:cs="Arial" w:eastAsiaTheme="majorEastAsia"/>
          <w:color w:val="000000"/>
          <w:sz w:val="22"/>
          <w:szCs w:val="22"/>
        </w:rPr>
        <w:t>Furthermore,</w:t>
      </w:r>
      <w:r w:rsidRPr="00DD3983" w:rsidR="00CF18E7">
        <w:rPr>
          <w:rFonts w:ascii="Arial" w:hAnsi="Arial" w:cs="Arial" w:eastAsiaTheme="majorEastAsia"/>
          <w:color w:val="000000"/>
          <w:sz w:val="22"/>
          <w:szCs w:val="22"/>
        </w:rPr>
        <w:t xml:space="preserve"> compounding effects also reach deep into the validity of research, where cognitive assessments such as the MMSE </w:t>
      </w:r>
      <w:r w:rsidRPr="00DD3983" w:rsidR="001052EA">
        <w:rPr>
          <w:rFonts w:ascii="Arial" w:hAnsi="Arial" w:cs="Arial" w:eastAsiaTheme="majorEastAsia"/>
          <w:color w:val="000000"/>
          <w:sz w:val="22"/>
          <w:szCs w:val="22"/>
        </w:rPr>
        <w:t>being</w:t>
      </w:r>
      <w:r w:rsidRPr="00DD3983" w:rsidR="00CF18E7">
        <w:rPr>
          <w:rFonts w:ascii="Arial" w:hAnsi="Arial" w:cs="Arial" w:eastAsiaTheme="majorEastAsia"/>
          <w:color w:val="000000"/>
          <w:sz w:val="22"/>
          <w:szCs w:val="22"/>
        </w:rPr>
        <w:t xml:space="preserve"> heavily relied upon for trial participant eligibility despite having poor performance for MCI detection</w:t>
      </w:r>
      <w:r w:rsidR="00044CA5">
        <w:rPr>
          <w:rFonts w:ascii="Arial" w:hAnsi="Arial" w:cs="Arial" w:eastAsiaTheme="majorEastAsia"/>
          <w:color w:val="000000"/>
          <w:sz w:val="22"/>
          <w:szCs w:val="22"/>
        </w:rPr>
        <w:t>.</w:t>
      </w:r>
      <w:r w:rsidRPr="00DD3983" w:rsidR="0002025D">
        <w:rPr>
          <w:rFonts w:ascii="Arial" w:hAnsi="Arial" w:cs="Arial" w:eastAsiaTheme="majorEastAsia"/>
          <w:color w:val="000000"/>
          <w:sz w:val="22"/>
          <w:szCs w:val="22"/>
        </w:rPr>
        <w:fldChar w:fldCharType="begin"/>
      </w:r>
      <w:r w:rsidR="00025355">
        <w:rPr>
          <w:rFonts w:ascii="Arial" w:hAnsi="Arial" w:cs="Arial" w:eastAsiaTheme="majorEastAsia"/>
          <w:color w:val="000000"/>
          <w:sz w:val="22"/>
          <w:szCs w:val="22"/>
        </w:rPr>
        <w:instrText xml:space="preserve"> ADDIN ZOTERO_ITEM CSL_CITATION {"citationID":"MTFhL8rP","properties":{"formattedCitation":"\\super 58\\nosupersub{}","plainCitation":"58","noteIndex":0},"citationItems":[{"id":1580,"uris":["http://zotero.org/users/10927406/items/BIBG9XZE"],"itemData":{"id":1580,"type":"article-journal","abstract":"Specific cutoff scores on the Mini Mental State Examination (MMSE) and the Logical Memory (LM) test are used to determine inclusion in Alzheimer’s disease (AD) clinical trials and diagnostic studies. These screening measures have known psychometric limitations, but no study has examined the diagnostic accuracy of the cutoff scores used to determine entry into AD clinical trials and diagnostic studies.","container-title":"Alzheimer's Research &amp; Therapy","DOI":"10.1186/s13195-016-0176-z","ISSN":"1758-9193","issue":"1","journalAbbreviation":"Alzheimer's Research &amp; Therapy","page":"9","source":"BioMed Central","title":"Mini Mental State Examination and Logical Memory scores for entry into Alzheimer’s disease trials","volume":"8","author":[{"family":"Chapman","given":"Kimberly R."},{"family":"Bing-Canar","given":"Hanaan"},{"family":"Alosco","given":"Michael L."},{"family":"Steinberg","given":"Eric G."},{"family":"Martin","given":"Brett"},{"family":"Chaisson","given":"Christine"},{"family":"Kowall","given":"Neil"},{"family":"Tripodis","given":"Yorghos"},{"family":"Stern","given":"Robert A."}],"issued":{"date-parts":[["2016",2,22]]}}}],"schema":"https://github.com/citation-style-language/schema/raw/master/csl-citation.json"} </w:instrText>
      </w:r>
      <w:r w:rsidRPr="00DD3983" w:rsidR="0002025D">
        <w:rPr>
          <w:rFonts w:ascii="Arial" w:hAnsi="Arial" w:cs="Arial" w:eastAsiaTheme="majorEastAsia"/>
          <w:color w:val="000000"/>
          <w:sz w:val="22"/>
          <w:szCs w:val="22"/>
        </w:rPr>
        <w:fldChar w:fldCharType="separate"/>
      </w:r>
      <w:r w:rsidRPr="00025355" w:rsidR="00025355">
        <w:rPr>
          <w:rFonts w:ascii="Arial" w:hAnsi="Arial" w:cs="Arial"/>
          <w:sz w:val="22"/>
          <w:vertAlign w:val="superscript"/>
        </w:rPr>
        <w:t>58</w:t>
      </w:r>
      <w:r w:rsidRPr="00DD3983" w:rsidR="0002025D">
        <w:rPr>
          <w:rFonts w:ascii="Arial" w:hAnsi="Arial" w:cs="Arial" w:eastAsiaTheme="majorEastAsia"/>
          <w:color w:val="000000"/>
          <w:sz w:val="22"/>
          <w:szCs w:val="22"/>
        </w:rPr>
        <w:fldChar w:fldCharType="end"/>
      </w:r>
      <w:r w:rsidRPr="00DD3983" w:rsidR="00CF18E7">
        <w:rPr>
          <w:rFonts w:ascii="Arial" w:hAnsi="Arial" w:cs="Arial" w:eastAsiaTheme="majorEastAsia"/>
          <w:color w:val="000000"/>
          <w:sz w:val="22"/>
          <w:szCs w:val="22"/>
        </w:rPr>
        <w:t xml:space="preserve"> Together, these findings illustrate a complex landscape of interconnected diagnostic obstacles that compound and intersect in a variety of ways that ultimately undermine the ability to diagnose AD early in the disease continuum.</w:t>
      </w:r>
    </w:p>
    <w:p w:rsidRPr="00DD3983" w:rsidR="005F171E" w:rsidP="006618CC" w:rsidRDefault="00D2166A" w14:paraId="354A07FF" w14:textId="6551D611">
      <w:pPr>
        <w:pStyle w:val="paragraph"/>
        <w:spacing w:before="0" w:after="0"/>
        <w:jc w:val="both"/>
        <w:textAlignment w:val="baseline"/>
        <w:rPr>
          <w:rFonts w:ascii="Arial" w:hAnsi="Arial" w:cs="Arial" w:eastAsiaTheme="majorEastAsia"/>
          <w:color w:val="000000"/>
          <w:sz w:val="22"/>
          <w:szCs w:val="22"/>
        </w:rPr>
      </w:pPr>
      <w:r w:rsidRPr="00DD3983">
        <w:rPr>
          <w:rFonts w:ascii="Arial" w:hAnsi="Arial" w:cs="Arial" w:eastAsiaTheme="majorEastAsia"/>
          <w:color w:val="000000"/>
          <w:sz w:val="22"/>
          <w:szCs w:val="22"/>
        </w:rPr>
        <w:t xml:space="preserve">The second </w:t>
      </w:r>
      <w:r w:rsidRPr="00DD3983" w:rsidR="00280DC6">
        <w:rPr>
          <w:rFonts w:ascii="Arial" w:hAnsi="Arial" w:cs="Arial" w:eastAsiaTheme="majorEastAsia"/>
          <w:color w:val="000000"/>
          <w:sz w:val="22"/>
          <w:szCs w:val="22"/>
        </w:rPr>
        <w:t>key finding was t</w:t>
      </w:r>
      <w:r w:rsidRPr="00DD3983" w:rsidR="005F171E">
        <w:rPr>
          <w:rFonts w:ascii="Arial" w:hAnsi="Arial" w:cs="Arial" w:eastAsiaTheme="majorEastAsia"/>
          <w:color w:val="000000"/>
          <w:sz w:val="22"/>
          <w:szCs w:val="22"/>
        </w:rPr>
        <w:t xml:space="preserve">wo pervasive barriers emerged across all disciplines: cost and limited generalizability. These </w:t>
      </w:r>
      <w:r w:rsidRPr="00DD3983" w:rsidR="00B441DD">
        <w:rPr>
          <w:rFonts w:ascii="Arial" w:hAnsi="Arial" w:cs="Arial" w:eastAsiaTheme="majorEastAsia"/>
          <w:color w:val="000000"/>
          <w:sz w:val="22"/>
          <w:szCs w:val="22"/>
        </w:rPr>
        <w:t xml:space="preserve">shared barriers </w:t>
      </w:r>
      <w:r w:rsidRPr="00DD3983" w:rsidR="005F171E">
        <w:rPr>
          <w:rFonts w:ascii="Arial" w:hAnsi="Arial" w:cs="Arial" w:eastAsiaTheme="majorEastAsia"/>
          <w:color w:val="000000"/>
          <w:sz w:val="22"/>
          <w:szCs w:val="22"/>
        </w:rPr>
        <w:t>represent fundamental obstacles</w:t>
      </w:r>
      <w:r w:rsidRPr="00DD3983" w:rsidR="00DA7B62">
        <w:rPr>
          <w:rFonts w:ascii="Arial" w:hAnsi="Arial" w:cs="Arial" w:eastAsiaTheme="majorEastAsia"/>
          <w:color w:val="000000"/>
          <w:sz w:val="22"/>
          <w:szCs w:val="22"/>
        </w:rPr>
        <w:t xml:space="preserve"> </w:t>
      </w:r>
      <w:r w:rsidRPr="00DD3983" w:rsidR="00B5263E">
        <w:rPr>
          <w:rFonts w:ascii="Arial" w:hAnsi="Arial" w:cs="Arial" w:eastAsiaTheme="majorEastAsia"/>
          <w:color w:val="000000"/>
          <w:sz w:val="22"/>
          <w:szCs w:val="22"/>
        </w:rPr>
        <w:t>to early AD diagnosis and provide</w:t>
      </w:r>
      <w:r w:rsidRPr="00DD3983" w:rsidR="005A18FC">
        <w:rPr>
          <w:rFonts w:ascii="Arial" w:hAnsi="Arial" w:cs="Arial" w:eastAsiaTheme="majorEastAsia"/>
          <w:color w:val="000000"/>
          <w:sz w:val="22"/>
          <w:szCs w:val="22"/>
        </w:rPr>
        <w:t xml:space="preserve"> </w:t>
      </w:r>
      <w:r w:rsidRPr="00DD3983" w:rsidR="00A47221">
        <w:rPr>
          <w:rFonts w:ascii="Arial" w:hAnsi="Arial" w:cs="Arial" w:eastAsiaTheme="majorEastAsia"/>
          <w:color w:val="000000"/>
          <w:sz w:val="22"/>
          <w:szCs w:val="22"/>
        </w:rPr>
        <w:t>specific focal points within the</w:t>
      </w:r>
      <w:r w:rsidRPr="00DD3983" w:rsidR="00F80E42">
        <w:rPr>
          <w:rFonts w:ascii="Arial" w:hAnsi="Arial" w:cs="Arial" w:eastAsiaTheme="majorEastAsia"/>
          <w:color w:val="000000"/>
          <w:sz w:val="22"/>
          <w:szCs w:val="22"/>
        </w:rPr>
        <w:t xml:space="preserve"> </w:t>
      </w:r>
      <w:r w:rsidRPr="00DD3983" w:rsidR="00E635A7">
        <w:rPr>
          <w:rFonts w:ascii="Arial" w:hAnsi="Arial" w:cs="Arial" w:eastAsiaTheme="majorEastAsia"/>
          <w:color w:val="000000"/>
          <w:sz w:val="22"/>
          <w:szCs w:val="22"/>
        </w:rPr>
        <w:t xml:space="preserve">diagnostic pathway </w:t>
      </w:r>
      <w:r w:rsidRPr="00DD3983" w:rsidR="005D76FC">
        <w:rPr>
          <w:rFonts w:ascii="Arial" w:hAnsi="Arial" w:cs="Arial" w:eastAsiaTheme="majorEastAsia"/>
          <w:color w:val="000000"/>
          <w:sz w:val="22"/>
          <w:szCs w:val="22"/>
        </w:rPr>
        <w:t>that have the greatest potential impact.</w:t>
      </w:r>
    </w:p>
    <w:p w:rsidRPr="005B26C3" w:rsidR="001B6CCD" w:rsidP="0053145B" w:rsidRDefault="001B6CCD" w14:paraId="53A08FE4" w14:textId="02465AA2">
      <w:pPr>
        <w:pStyle w:val="Heading2"/>
        <w:spacing w:before="0"/>
        <w:rPr>
          <w:rFonts w:cs="Arial"/>
          <w:sz w:val="22"/>
          <w:szCs w:val="22"/>
        </w:rPr>
      </w:pPr>
      <w:r w:rsidRPr="005B26C3">
        <w:rPr>
          <w:rStyle w:val="normaltextrun"/>
        </w:rPr>
        <w:t>Generalizability</w:t>
      </w:r>
    </w:p>
    <w:p w:rsidRPr="00DD3983" w:rsidR="001B6CCD" w:rsidP="0053145B" w:rsidRDefault="001B6CCD" w14:paraId="411B85C7" w14:textId="23A523C2">
      <w:pPr>
        <w:pStyle w:val="paragraph"/>
        <w:spacing w:before="0" w:beforeAutospacing="0" w:after="0"/>
        <w:jc w:val="both"/>
        <w:textAlignment w:val="baseline"/>
        <w:rPr>
          <w:rFonts w:ascii="Arial" w:hAnsi="Arial" w:cs="Arial" w:eastAsiaTheme="majorEastAsia"/>
          <w:color w:val="000000" w:themeColor="text1"/>
          <w:sz w:val="22"/>
          <w:szCs w:val="22"/>
        </w:rPr>
      </w:pPr>
      <w:r w:rsidRPr="00DD3983">
        <w:rPr>
          <w:rStyle w:val="normaltextrun"/>
          <w:rFonts w:ascii="Arial" w:hAnsi="Arial" w:cs="Arial" w:eastAsiaTheme="majorEastAsia"/>
          <w:color w:val="000000" w:themeColor="text1"/>
          <w:sz w:val="22"/>
          <w:szCs w:val="22"/>
        </w:rPr>
        <w:t>The issue of generalizability emerges as a critical barrier in AD diagnosis, significantly limiting the effectiveness and accuracy of diagnostic tools, cognitive assessments, and clinical research</w:t>
      </w:r>
      <w:r w:rsidR="00044CA5">
        <w:rPr>
          <w:rStyle w:val="normaltextrun"/>
          <w:rFonts w:ascii="Arial" w:hAnsi="Arial" w:cs="Arial" w:eastAsiaTheme="majorEastAsia"/>
          <w:color w:val="000000" w:themeColor="text1"/>
          <w:sz w:val="22"/>
          <w:szCs w:val="22"/>
        </w:rPr>
        <w:t>.</w:t>
      </w:r>
      <w:r w:rsidRPr="00DD3983">
        <w:rPr>
          <w:rStyle w:val="normaltextrun"/>
          <w:rFonts w:ascii="Arial" w:hAnsi="Arial" w:cs="Arial" w:eastAsiaTheme="majorEastAsia"/>
          <w:color w:val="000000" w:themeColor="text1"/>
          <w:sz w:val="22"/>
          <w:szCs w:val="22"/>
        </w:rPr>
        <w:fldChar w:fldCharType="begin"/>
      </w:r>
      <w:r w:rsidR="00025355">
        <w:rPr>
          <w:rStyle w:val="normaltextrun"/>
          <w:rFonts w:ascii="Arial" w:hAnsi="Arial" w:cs="Arial" w:eastAsiaTheme="majorEastAsia"/>
          <w:color w:val="000000" w:themeColor="text1"/>
          <w:sz w:val="22"/>
          <w:szCs w:val="22"/>
        </w:rPr>
        <w:instrText xml:space="preserve"> ADDIN ZOTERO_ITEM CSL_CITATION {"citationID":"tXscTd9d","properties":{"formattedCitation":"\\super 17\\nosupersub{}","plainCitation":"17","noteIndex":0},"citationItems":[{"id":1965,"uris":["http://zotero.org/users/10927406/items/ET3QIZFM"],"itemData":{"id":1965,"type":"article-journal","abstract":"This article describes the public health impact of Alzheimer's disease (AD), including prevalence and incidence, mortality and morbidity, use and costs of care and the ramifications of AD for family caregivers, the dementia workforce and society. The Special Report discusses the larger health care system for older adults with cognitive issues, focusing on the role of caregivers and non</w:instrText>
      </w:r>
      <w:r w:rsidR="00025355">
        <w:rPr>
          <w:rStyle w:val="normaltextrun"/>
          <w:rFonts w:ascii="Cambria Math" w:hAnsi="Cambria Math" w:cs="Cambria Math" w:eastAsiaTheme="majorEastAsia"/>
          <w:color w:val="000000" w:themeColor="text1"/>
          <w:sz w:val="22"/>
          <w:szCs w:val="22"/>
        </w:rPr>
        <w:instrText>‐</w:instrText>
      </w:r>
      <w:r w:rsidR="00025355">
        <w:rPr>
          <w:rStyle w:val="normaltextrun"/>
          <w:rFonts w:ascii="Arial" w:hAnsi="Arial" w:cs="Arial" w:eastAsiaTheme="majorEastAsia"/>
          <w:color w:val="000000" w:themeColor="text1"/>
          <w:sz w:val="22"/>
          <w:szCs w:val="22"/>
        </w:rPr>
        <w:instrText>physician health care professionals. An estimated 6.9 million Americans age 65 and older are living with Alzheimer's dementia today. This number could grow to 13.8 million by 2060, barring the development of medical breakthroughs to prevent or cure AD. Official AD death certificates recorded 119,399 deaths from AD in 2021. In 2020 and 2021, when COVID</w:instrText>
      </w:r>
      <w:r w:rsidR="00025355">
        <w:rPr>
          <w:rStyle w:val="normaltextrun"/>
          <w:rFonts w:ascii="Cambria Math" w:hAnsi="Cambria Math" w:cs="Cambria Math" w:eastAsiaTheme="majorEastAsia"/>
          <w:color w:val="000000" w:themeColor="text1"/>
          <w:sz w:val="22"/>
          <w:szCs w:val="22"/>
        </w:rPr>
        <w:instrText>‐</w:instrText>
      </w:r>
      <w:r w:rsidR="00025355">
        <w:rPr>
          <w:rStyle w:val="normaltextrun"/>
          <w:rFonts w:ascii="Arial" w:hAnsi="Arial" w:cs="Arial" w:eastAsiaTheme="majorEastAsia"/>
          <w:color w:val="000000" w:themeColor="text1"/>
          <w:sz w:val="22"/>
          <w:szCs w:val="22"/>
        </w:rPr>
        <w:instrText>19 entered the ranks of the top ten causes of death, Alzheimer's was the seventh</w:instrText>
      </w:r>
      <w:r w:rsidR="00025355">
        <w:rPr>
          <w:rStyle w:val="normaltextrun"/>
          <w:rFonts w:ascii="Cambria Math" w:hAnsi="Cambria Math" w:cs="Cambria Math" w:eastAsiaTheme="majorEastAsia"/>
          <w:color w:val="000000" w:themeColor="text1"/>
          <w:sz w:val="22"/>
          <w:szCs w:val="22"/>
        </w:rPr>
        <w:instrText>‐</w:instrText>
      </w:r>
      <w:r w:rsidR="00025355">
        <w:rPr>
          <w:rStyle w:val="normaltextrun"/>
          <w:rFonts w:ascii="Arial" w:hAnsi="Arial" w:cs="Arial" w:eastAsiaTheme="majorEastAsia"/>
          <w:color w:val="000000" w:themeColor="text1"/>
          <w:sz w:val="22"/>
          <w:szCs w:val="22"/>
        </w:rPr>
        <w:instrText>leading cause of death in the United States. Official counts for more recent years are still being compiled. Alzheimer's remains the fifth</w:instrText>
      </w:r>
      <w:r w:rsidR="00025355">
        <w:rPr>
          <w:rStyle w:val="normaltextrun"/>
          <w:rFonts w:ascii="Cambria Math" w:hAnsi="Cambria Math" w:cs="Cambria Math" w:eastAsiaTheme="majorEastAsia"/>
          <w:color w:val="000000" w:themeColor="text1"/>
          <w:sz w:val="22"/>
          <w:szCs w:val="22"/>
        </w:rPr>
        <w:instrText>‐</w:instrText>
      </w:r>
      <w:r w:rsidR="00025355">
        <w:rPr>
          <w:rStyle w:val="normaltextrun"/>
          <w:rFonts w:ascii="Arial" w:hAnsi="Arial" w:cs="Arial" w:eastAsiaTheme="majorEastAsia"/>
          <w:color w:val="000000" w:themeColor="text1"/>
          <w:sz w:val="22"/>
          <w:szCs w:val="22"/>
        </w:rPr>
        <w:instrText>leading cause of death among Americans age 65 and older. Between 2000 and 2021, deaths from stroke, heart disease and HIV decreased, whereas reported deaths from AD increased more than 140%. More than 11 million family members and other unpaid caregivers provided an estimated 18.4 billion hours of care to people with Alzheimer's or other dementias in 2023. These figures reflect a decline in the number of caregivers compared with a decade earlier, as well as an increase in the amount of care provided by each remaining caregiver. Unpaid dementia caregiving was valued at $346.6 billion in 2023. Its costs, however, extend to unpaid caregivers’ increased risk for emotional distress and negative mental and physical health outcomes. Members of the paid health care and broader community</w:instrText>
      </w:r>
      <w:r w:rsidR="00025355">
        <w:rPr>
          <w:rStyle w:val="normaltextrun"/>
          <w:rFonts w:ascii="Cambria Math" w:hAnsi="Cambria Math" w:cs="Cambria Math" w:eastAsiaTheme="majorEastAsia"/>
          <w:color w:val="000000" w:themeColor="text1"/>
          <w:sz w:val="22"/>
          <w:szCs w:val="22"/>
        </w:rPr>
        <w:instrText>‐</w:instrText>
      </w:r>
      <w:r w:rsidR="00025355">
        <w:rPr>
          <w:rStyle w:val="normaltextrun"/>
          <w:rFonts w:ascii="Arial" w:hAnsi="Arial" w:cs="Arial" w:eastAsiaTheme="majorEastAsia"/>
          <w:color w:val="000000" w:themeColor="text1"/>
          <w:sz w:val="22"/>
          <w:szCs w:val="22"/>
        </w:rPr>
        <w:instrText>based workforce are involved in diagnosing, treating and caring for people with dementia. However, the United States faces growing shortages across different segments of the dementia care workforce due to a combination of factors, including the absolute increase in the number of people living with dementia. Therefore, targeted programs and care delivery models will be needed to attract, better train and effectively deploy health care and community</w:instrText>
      </w:r>
      <w:r w:rsidR="00025355">
        <w:rPr>
          <w:rStyle w:val="normaltextrun"/>
          <w:rFonts w:ascii="Cambria Math" w:hAnsi="Cambria Math" w:cs="Cambria Math" w:eastAsiaTheme="majorEastAsia"/>
          <w:color w:val="000000" w:themeColor="text1"/>
          <w:sz w:val="22"/>
          <w:szCs w:val="22"/>
        </w:rPr>
        <w:instrText>‐</w:instrText>
      </w:r>
      <w:r w:rsidR="00025355">
        <w:rPr>
          <w:rStyle w:val="normaltextrun"/>
          <w:rFonts w:ascii="Arial" w:hAnsi="Arial" w:cs="Arial" w:eastAsiaTheme="majorEastAsia"/>
          <w:color w:val="000000" w:themeColor="text1"/>
          <w:sz w:val="22"/>
          <w:szCs w:val="22"/>
        </w:rPr>
        <w:instrText>based workers to provide dementia care. Average per</w:instrText>
      </w:r>
      <w:r w:rsidR="00025355">
        <w:rPr>
          <w:rStyle w:val="normaltextrun"/>
          <w:rFonts w:ascii="Cambria Math" w:hAnsi="Cambria Math" w:cs="Cambria Math" w:eastAsiaTheme="majorEastAsia"/>
          <w:color w:val="000000" w:themeColor="text1"/>
          <w:sz w:val="22"/>
          <w:szCs w:val="22"/>
        </w:rPr>
        <w:instrText>‐</w:instrText>
      </w:r>
      <w:r w:rsidR="00025355">
        <w:rPr>
          <w:rStyle w:val="normaltextrun"/>
          <w:rFonts w:ascii="Arial" w:hAnsi="Arial" w:cs="Arial" w:eastAsiaTheme="majorEastAsia"/>
          <w:color w:val="000000" w:themeColor="text1"/>
          <w:sz w:val="22"/>
          <w:szCs w:val="22"/>
        </w:rPr>
        <w:instrText>person Medicare payments for services to beneficiaries age 65 and older with AD or other dementias are almost three times as great as payments for beneficiaries without these conditions, and Medicaid payments are more than 22 times as great. Total payments in 2024 for health care, long</w:instrText>
      </w:r>
      <w:r w:rsidR="00025355">
        <w:rPr>
          <w:rStyle w:val="normaltextrun"/>
          <w:rFonts w:ascii="Cambria Math" w:hAnsi="Cambria Math" w:cs="Cambria Math" w:eastAsiaTheme="majorEastAsia"/>
          <w:color w:val="000000" w:themeColor="text1"/>
          <w:sz w:val="22"/>
          <w:szCs w:val="22"/>
        </w:rPr>
        <w:instrText>‐</w:instrText>
      </w:r>
      <w:r w:rsidR="00025355">
        <w:rPr>
          <w:rStyle w:val="normaltextrun"/>
          <w:rFonts w:ascii="Arial" w:hAnsi="Arial" w:cs="Arial" w:eastAsiaTheme="majorEastAsia"/>
          <w:color w:val="000000" w:themeColor="text1"/>
          <w:sz w:val="22"/>
          <w:szCs w:val="22"/>
        </w:rPr>
        <w:instrText>term care and hospice services for people age 65 and older with dementia are estimated to be $360 billion. The Special Report investigates how caregivers of older adults with cognitive issues interact with the health care system and examines the role non</w:instrText>
      </w:r>
      <w:r w:rsidR="00025355">
        <w:rPr>
          <w:rStyle w:val="normaltextrun"/>
          <w:rFonts w:ascii="Cambria Math" w:hAnsi="Cambria Math" w:cs="Cambria Math" w:eastAsiaTheme="majorEastAsia"/>
          <w:color w:val="000000" w:themeColor="text1"/>
          <w:sz w:val="22"/>
          <w:szCs w:val="22"/>
        </w:rPr>
        <w:instrText>‐</w:instrText>
      </w:r>
      <w:r w:rsidR="00025355">
        <w:rPr>
          <w:rStyle w:val="normaltextrun"/>
          <w:rFonts w:ascii="Arial" w:hAnsi="Arial" w:cs="Arial" w:eastAsiaTheme="majorEastAsia"/>
          <w:color w:val="000000" w:themeColor="text1"/>
          <w:sz w:val="22"/>
          <w:szCs w:val="22"/>
        </w:rPr>
        <w:instrText>physician health care professionals play in facilitating clinical care and access to community</w:instrText>
      </w:r>
      <w:r w:rsidR="00025355">
        <w:rPr>
          <w:rStyle w:val="normaltextrun"/>
          <w:rFonts w:ascii="Cambria Math" w:hAnsi="Cambria Math" w:cs="Cambria Math" w:eastAsiaTheme="majorEastAsia"/>
          <w:color w:val="000000" w:themeColor="text1"/>
          <w:sz w:val="22"/>
          <w:szCs w:val="22"/>
        </w:rPr>
        <w:instrText>‐</w:instrText>
      </w:r>
      <w:r w:rsidR="00025355">
        <w:rPr>
          <w:rStyle w:val="normaltextrun"/>
          <w:rFonts w:ascii="Arial" w:hAnsi="Arial" w:cs="Arial" w:eastAsiaTheme="majorEastAsia"/>
          <w:color w:val="000000" w:themeColor="text1"/>
          <w:sz w:val="22"/>
          <w:szCs w:val="22"/>
        </w:rPr>
        <w:instrText xml:space="preserve">based services and supports. It includes surveys of caregivers and health care workers, focusing on their experiences, challenges, awareness and perceptions of dementia care navigation.","container-title":"Alzheimer's &amp; Dementia","DOI":"10.1002/alz.13809","ISSN":"1552-5260","issue":"5","journalAbbreviation":"Alzheimers Dement","note":"PMID: 38689398\nPMCID: PMC11095490","page":"3708-3821","source":"PubMed Central","title":"2024 Alzheimer's disease facts and figures","volume":"20","issued":{"date-parts":[["2024",4,30]]}}}],"schema":"https://github.com/citation-style-language/schema/raw/master/csl-citation.json"} </w:instrText>
      </w:r>
      <w:r w:rsidRPr="00DD3983">
        <w:rPr>
          <w:rStyle w:val="normaltextrun"/>
          <w:rFonts w:ascii="Arial" w:hAnsi="Arial" w:cs="Arial" w:eastAsiaTheme="majorEastAsia"/>
          <w:color w:val="000000" w:themeColor="text1"/>
          <w:sz w:val="22"/>
          <w:szCs w:val="22"/>
        </w:rPr>
        <w:fldChar w:fldCharType="separate"/>
      </w:r>
      <w:r w:rsidRPr="00025355" w:rsidR="00025355">
        <w:rPr>
          <w:rFonts w:ascii="Arial" w:hAnsi="Arial" w:cs="Arial"/>
          <w:sz w:val="22"/>
          <w:vertAlign w:val="superscript"/>
        </w:rPr>
        <w:t>17</w:t>
      </w:r>
      <w:r w:rsidRPr="00DD3983">
        <w:rPr>
          <w:rStyle w:val="normaltextrun"/>
          <w:rFonts w:ascii="Arial" w:hAnsi="Arial" w:cs="Arial" w:eastAsiaTheme="majorEastAsia"/>
          <w:color w:val="000000" w:themeColor="text1"/>
          <w:sz w:val="22"/>
          <w:szCs w:val="22"/>
        </w:rPr>
        <w:fldChar w:fldCharType="end"/>
      </w:r>
      <w:r w:rsidRPr="00DD3983">
        <w:rPr>
          <w:rStyle w:val="normaltextrun"/>
          <w:rFonts w:ascii="Arial" w:hAnsi="Arial" w:cs="Arial" w:eastAsiaTheme="majorEastAsia"/>
          <w:color w:val="000000" w:themeColor="text1"/>
          <w:sz w:val="22"/>
          <w:szCs w:val="22"/>
        </w:rPr>
        <w:t xml:space="preserve"> 77%</w:t>
      </w:r>
      <w:r w:rsidRPr="00DD3983" w:rsidR="00670F01">
        <w:rPr>
          <w:rStyle w:val="normaltextrun"/>
          <w:rFonts w:ascii="Arial" w:hAnsi="Arial" w:cs="Arial" w:eastAsiaTheme="majorEastAsia"/>
          <w:color w:val="000000" w:themeColor="text1"/>
          <w:sz w:val="22"/>
          <w:szCs w:val="22"/>
        </w:rPr>
        <w:t xml:space="preserve"> (</w:t>
      </w:r>
      <w:r w:rsidRPr="00DD3983" w:rsidR="00C95B8A">
        <w:rPr>
          <w:rStyle w:val="normaltextrun"/>
          <w:rFonts w:ascii="Arial" w:hAnsi="Arial" w:cs="Arial" w:eastAsiaTheme="majorEastAsia"/>
          <w:color w:val="000000" w:themeColor="text1"/>
          <w:sz w:val="22"/>
          <w:szCs w:val="22"/>
        </w:rPr>
        <w:t>n= 73</w:t>
      </w:r>
      <w:r w:rsidRPr="00DD3983" w:rsidR="00670F01">
        <w:rPr>
          <w:rStyle w:val="normaltextrun"/>
          <w:rFonts w:ascii="Arial" w:hAnsi="Arial" w:cs="Arial" w:eastAsiaTheme="majorEastAsia"/>
          <w:color w:val="000000" w:themeColor="text1"/>
          <w:sz w:val="22"/>
          <w:szCs w:val="22"/>
        </w:rPr>
        <w:t>)</w:t>
      </w:r>
      <w:r w:rsidRPr="00DD3983">
        <w:rPr>
          <w:rStyle w:val="normaltextrun"/>
          <w:rFonts w:ascii="Arial" w:hAnsi="Arial" w:cs="Arial" w:eastAsiaTheme="majorEastAsia"/>
          <w:color w:val="000000" w:themeColor="text1"/>
          <w:sz w:val="22"/>
          <w:szCs w:val="22"/>
        </w:rPr>
        <w:t xml:space="preserve"> of biomedical articles and 90%</w:t>
      </w:r>
      <w:r w:rsidRPr="00DD3983" w:rsidR="00670F01">
        <w:rPr>
          <w:rStyle w:val="normaltextrun"/>
          <w:rFonts w:ascii="Arial" w:hAnsi="Arial" w:cs="Arial" w:eastAsiaTheme="majorEastAsia"/>
          <w:color w:val="000000" w:themeColor="text1"/>
          <w:sz w:val="22"/>
          <w:szCs w:val="22"/>
        </w:rPr>
        <w:t xml:space="preserve"> (</w:t>
      </w:r>
      <w:r w:rsidRPr="00DD3983" w:rsidR="00C95B8A">
        <w:rPr>
          <w:rStyle w:val="normaltextrun"/>
          <w:rFonts w:ascii="Arial" w:hAnsi="Arial" w:cs="Arial" w:eastAsiaTheme="majorEastAsia"/>
          <w:color w:val="000000" w:themeColor="text1"/>
          <w:sz w:val="22"/>
          <w:szCs w:val="22"/>
        </w:rPr>
        <w:t xml:space="preserve">n= </w:t>
      </w:r>
      <w:r w:rsidRPr="00DD3983" w:rsidR="00F36063">
        <w:rPr>
          <w:rStyle w:val="normaltextrun"/>
          <w:rFonts w:ascii="Arial" w:hAnsi="Arial" w:cs="Arial" w:eastAsiaTheme="majorEastAsia"/>
          <w:color w:val="000000" w:themeColor="text1"/>
          <w:sz w:val="22"/>
          <w:szCs w:val="22"/>
        </w:rPr>
        <w:t>26</w:t>
      </w:r>
      <w:r w:rsidRPr="00DD3983" w:rsidR="00670F01">
        <w:rPr>
          <w:rStyle w:val="normaltextrun"/>
          <w:rFonts w:ascii="Arial" w:hAnsi="Arial" w:cs="Arial" w:eastAsiaTheme="majorEastAsia"/>
          <w:color w:val="000000" w:themeColor="text1"/>
          <w:sz w:val="22"/>
          <w:szCs w:val="22"/>
        </w:rPr>
        <w:t>)</w:t>
      </w:r>
      <w:r w:rsidRPr="00DD3983">
        <w:rPr>
          <w:rStyle w:val="normaltextrun"/>
          <w:rFonts w:ascii="Arial" w:hAnsi="Arial" w:cs="Arial" w:eastAsiaTheme="majorEastAsia"/>
          <w:color w:val="000000" w:themeColor="text1"/>
          <w:sz w:val="22"/>
          <w:szCs w:val="22"/>
        </w:rPr>
        <w:t xml:space="preserve"> of neuropsychological articles mention generalizability as a limitation </w:t>
      </w:r>
      <w:r w:rsidRPr="00DD3983" w:rsidR="005864CC">
        <w:rPr>
          <w:rStyle w:val="normaltextrun"/>
          <w:rFonts w:ascii="Arial" w:hAnsi="Arial" w:cs="Arial" w:eastAsiaTheme="majorEastAsia"/>
          <w:color w:val="000000" w:themeColor="text1"/>
          <w:sz w:val="22"/>
          <w:szCs w:val="22"/>
        </w:rPr>
        <w:t>or</w:t>
      </w:r>
      <w:r w:rsidRPr="00DD3983">
        <w:rPr>
          <w:rStyle w:val="normaltextrun"/>
          <w:rFonts w:ascii="Arial" w:hAnsi="Arial" w:cs="Arial" w:eastAsiaTheme="majorEastAsia"/>
          <w:color w:val="000000" w:themeColor="text1"/>
          <w:sz w:val="22"/>
          <w:szCs w:val="22"/>
        </w:rPr>
        <w:t xml:space="preserve"> barrier.</w:t>
      </w:r>
      <w:r w:rsidRPr="00DD3983" w:rsidR="00670F01">
        <w:rPr>
          <w:rStyle w:val="normaltextrun"/>
          <w:rFonts w:ascii="Arial" w:hAnsi="Arial" w:cs="Arial" w:eastAsiaTheme="majorEastAsia"/>
          <w:color w:val="000000" w:themeColor="text1"/>
          <w:sz w:val="22"/>
          <w:szCs w:val="22"/>
        </w:rPr>
        <w:t xml:space="preserve"> </w:t>
      </w:r>
      <w:r w:rsidRPr="00DD3983">
        <w:rPr>
          <w:rFonts w:ascii="Arial" w:hAnsi="Arial" w:cs="Arial"/>
          <w:color w:val="000000" w:themeColor="text1"/>
          <w:sz w:val="22"/>
          <w:szCs w:val="22"/>
        </w:rPr>
        <w:t>In the biomedical d</w:t>
      </w:r>
      <w:r w:rsidRPr="00DD3983" w:rsidR="000E4F47">
        <w:rPr>
          <w:rFonts w:ascii="Arial" w:hAnsi="Arial" w:cs="Arial"/>
          <w:color w:val="000000" w:themeColor="text1"/>
          <w:sz w:val="22"/>
          <w:szCs w:val="22"/>
        </w:rPr>
        <w:t>iscipline</w:t>
      </w:r>
      <w:r w:rsidRPr="00DD3983">
        <w:rPr>
          <w:rFonts w:ascii="Arial" w:hAnsi="Arial" w:cs="Arial"/>
          <w:color w:val="000000" w:themeColor="text1"/>
          <w:sz w:val="22"/>
          <w:szCs w:val="22"/>
        </w:rPr>
        <w:t>, promising markers like plasma pTau217 and TNAP are affected by demographic factors such as age, sex, and comorbid conditions that alter biomarker levels and affect diagnostic accuracy</w:t>
      </w:r>
      <w:r w:rsidR="00C51C89">
        <w:rPr>
          <w:rFonts w:ascii="Arial" w:hAnsi="Arial" w:cs="Arial"/>
          <w:color w:val="000000" w:themeColor="text1"/>
          <w:sz w:val="22"/>
          <w:szCs w:val="22"/>
        </w:rPr>
        <w:t>.</w:t>
      </w:r>
      <w:r w:rsidR="008910C7">
        <w:rPr>
          <w:rFonts w:ascii="Arial" w:hAnsi="Arial" w:cs="Arial"/>
          <w:color w:val="000000" w:themeColor="text1"/>
          <w:sz w:val="22"/>
          <w:szCs w:val="22"/>
        </w:rPr>
        <w:fldChar w:fldCharType="begin"/>
      </w:r>
      <w:r w:rsidR="00025355">
        <w:rPr>
          <w:rFonts w:ascii="Arial" w:hAnsi="Arial" w:cs="Arial"/>
          <w:color w:val="000000" w:themeColor="text1"/>
          <w:sz w:val="22"/>
          <w:szCs w:val="22"/>
        </w:rPr>
        <w:instrText xml:space="preserve"> ADDIN ZOTERO_ITEM CSL_CITATION {"citationID":"ZbK4YwMe","properties":{"formattedCitation":"\\super 77\\nosupersub{}","plainCitation":"77","noteIndex":0},"citationItems":[{"id":"7XVybpWP/z7to74mn","uris":["http://zotero.org/users/14808070/items/E5HK7CB9"],"itemData":{"id":1103,"type":"article-journal","abstract":"Importance:\nPhosphorylated tau (pTau) is a specific blood biomarker for Alzheimer’s disease (AD) pathology, with pTau217 considered to have the most utility. However, availability of pTau217 tests for research and clinical use has been limited. Expanding access to this highly accurate AD biomarker is crucial for wider evaluation and implementation of AD blood tests.\n\nObjective:\nTo determine the utility of a novel and commercially available Single molecule array (Simoa) for plasma pTau217 (ALZpath) to detect AD pathology. To evaluate references ranges for abnormal Aβ across three selected cohorts.\n\nDesign, Setting, Participants:\nThree single-centre observational cohorts were involved in the study: Translational Biomarkers in Aging and Dementia (TRIAD), Wisconsin Registry for Alzheimer’s Prevention (WRAP), and Sant Pau Initiative on Neurodegeneration (SPIN). MRI, Aβ-PET, and tau-PET data were available for TRIAD and WRAP, while CSF biomarkers were additionally measured in a subset of TRIAD and SPIN. Plasma measurements of pTau181, pTau217 (ALZpath), pTau231, Aβ42/40, GFAP, and NfL, were available for all cohorts. Longitudinal blood biomarker data spanning 3 years for TRIAD and 8 years for WRAP were included.\n\nExposures:\nMRI, Aβ-PET, tau-PET, CSF biomarkers (Aβ42/40 and pTau immunoassays) and plasma pTau217 (ALZpath Simoa).\n\nMain Outcomes and Measures:\nThe accuracy of plasma pTau217 for detecting abnormal amyloid and tau pathology. Longitudinal pTau217 change according to baseline pathology status.\n\nResults:\nThe study included 786 participants (mean [SD] age, 66.3 [9.7] years; 504 females [64.1%]) were included in the study. High accuracy was observed in identifying elevated Aβ (AUC, 0.92–0.96; 95%CI 0.89–0.99) and tau pathology (AUC, 0.93–0.97; 95%CI 0.84–0.99) across all cohorts. These accuracies were significantly higher than other plasma biomarker combinations and comparable to CSF biomarkers. The detection of abnormal Aβ pathology using binary or three-range references yielded reproducible results. Longitudinally, plasma pTau217 showed an annual increase only in Aβ-positive individuals, with the highest increase observed in those with tau-positivity.\n\nConclusions and Relevance:\nThe ALZpath plasma pTau217 Simoa assay accurately identifies biological AD, comparable to CSF biomarkers, with reproducible cut-offs across cohorts. It detects longitudinal changes, including at the preclinical stage, and is the first widely available, accessible, and scalable blood test for pTau217 detection.","container-title":"medRxiv","DOI":"10.1101/2023.07.11.23292493","journalAbbreviation":"medRxiv","note":"PMID: 37502842\nPMCID: PMC10370224","page":"2023.07.11.23292493","source":"PubMed Central","title":"Diagnostic accuracy of the plasma ALZpath pTau217 immunoassay to identify Alzheimer’s disease pathology","author":[{"family":"Ashton","given":"Nicholas J."},{"family":"Brum","given":"Wagner S."},{"family":"Di Molfetta","given":"Guglielmo"},{"family":"Benedet","given":"Andrea L."},{"family":"Arslan","given":"Burak"},{"family":"Jonatis","given":"Erin"},{"family":"Langhough","given":"Rebecca E."},{"family":"Cody","given":"Karly"},{"family":"Wilson","given":"Rachael"},{"family":"Carlsson","given":"Cynthia M."},{"family":"Vanmechelen","given":"Eugeen"},{"family":"Montoliu-Gaya","given":"Laia"},{"family":"Lantero-Rodriguez","given":"Juan"},{"family":"Rahmouni","given":"Nesrine"},{"family":"Tissot","given":"Cecile"},{"family":"Stevenson","given":"Jenna"},{"family":"Servaes","given":"Stijn"},{"family":"Therriault","given":"Joseph"},{"family":"Pascoal","given":"Tharick"},{"family":"Lleó","given":"Alberto"},{"family":"Alcolea","given":"Daniel"},{"family":"Fortea","given":"Juan"},{"family":"Rosa-Neto","given":"Pedro"},{"family":"Johnson","given":"Sterling"},{"family":"Jeromin","given":"Andreas"},{"family":"Blennow","given":"Kaj"},{"family":"Zetterberg","given":"Henrik"}],"issued":{"date-parts":[["2023",7,12]]}}}],"schema":"https://github.com/citation-style-language/schema/raw/master/csl-citation.json"} </w:instrText>
      </w:r>
      <w:r w:rsidR="008910C7">
        <w:rPr>
          <w:rFonts w:ascii="Arial" w:hAnsi="Arial" w:cs="Arial"/>
          <w:color w:val="000000" w:themeColor="text1"/>
          <w:sz w:val="22"/>
          <w:szCs w:val="22"/>
        </w:rPr>
        <w:fldChar w:fldCharType="separate"/>
      </w:r>
      <w:r w:rsidRPr="00025355" w:rsidR="00025355">
        <w:rPr>
          <w:rFonts w:ascii="Arial" w:hAnsi="Arial" w:cs="Arial"/>
          <w:sz w:val="22"/>
          <w:vertAlign w:val="superscript"/>
        </w:rPr>
        <w:t>77</w:t>
      </w:r>
      <w:r w:rsidR="008910C7">
        <w:rPr>
          <w:rFonts w:ascii="Arial" w:hAnsi="Arial" w:cs="Arial"/>
          <w:color w:val="000000" w:themeColor="text1"/>
          <w:sz w:val="22"/>
          <w:szCs w:val="22"/>
        </w:rPr>
        <w:fldChar w:fldCharType="end"/>
      </w:r>
      <w:r w:rsidRPr="00DD3983">
        <w:rPr>
          <w:rFonts w:ascii="Arial" w:hAnsi="Arial" w:cs="Arial"/>
          <w:color w:val="000000" w:themeColor="text1"/>
          <w:sz w:val="22"/>
          <w:szCs w:val="22"/>
        </w:rPr>
        <w:t xml:space="preserve"> Our analysis of neuroimaging studies revealed that AI models analyzing brain MRI data are </w:t>
      </w:r>
      <w:r w:rsidRPr="00DD3983" w:rsidR="00670F01">
        <w:rPr>
          <w:rFonts w:ascii="Arial" w:hAnsi="Arial" w:cs="Arial"/>
          <w:color w:val="000000" w:themeColor="text1"/>
          <w:sz w:val="22"/>
          <w:szCs w:val="22"/>
        </w:rPr>
        <w:t xml:space="preserve">also </w:t>
      </w:r>
      <w:r w:rsidRPr="00DD3983">
        <w:rPr>
          <w:rFonts w:ascii="Arial" w:hAnsi="Arial" w:cs="Arial"/>
          <w:color w:val="000000" w:themeColor="text1"/>
          <w:sz w:val="22"/>
          <w:szCs w:val="22"/>
        </w:rPr>
        <w:t>hindered by the need for large, diverse datasets and standardized imaging protocols.</w:t>
      </w:r>
      <w:r w:rsidRPr="00DD3983" w:rsidR="00D06F92">
        <w:rPr>
          <w:rStyle w:val="normaltextrun"/>
          <w:rFonts w:ascii="Arial" w:hAnsi="Arial" w:cs="Arial" w:eastAsiaTheme="majorEastAsia"/>
          <w:color w:val="000000" w:themeColor="text1"/>
          <w:sz w:val="22"/>
          <w:szCs w:val="22"/>
        </w:rPr>
        <w:t xml:space="preserve"> </w:t>
      </w:r>
      <w:r w:rsidRPr="00DD3983" w:rsidR="00D06F92">
        <w:rPr>
          <w:rFonts w:ascii="Arial" w:hAnsi="Arial" w:cs="Arial"/>
          <w:color w:val="000000" w:themeColor="text1"/>
          <w:sz w:val="22"/>
          <w:szCs w:val="22"/>
        </w:rPr>
        <w:t>Withi</w:t>
      </w:r>
      <w:r w:rsidRPr="00DD3983">
        <w:rPr>
          <w:rFonts w:ascii="Arial" w:hAnsi="Arial" w:cs="Arial"/>
          <w:color w:val="000000" w:themeColor="text1"/>
          <w:sz w:val="22"/>
          <w:szCs w:val="22"/>
        </w:rPr>
        <w:t>n</w:t>
      </w:r>
      <w:r w:rsidRPr="00DD3983" w:rsidR="00ED0348">
        <w:rPr>
          <w:rFonts w:ascii="Arial" w:hAnsi="Arial" w:cs="Arial"/>
          <w:color w:val="000000" w:themeColor="text1"/>
          <w:sz w:val="22"/>
          <w:szCs w:val="22"/>
        </w:rPr>
        <w:t xml:space="preserve"> </w:t>
      </w:r>
      <w:r w:rsidRPr="00DD3983">
        <w:rPr>
          <w:rFonts w:ascii="Arial" w:hAnsi="Arial" w:cs="Arial"/>
          <w:color w:val="000000" w:themeColor="text1"/>
          <w:sz w:val="22"/>
          <w:szCs w:val="22"/>
        </w:rPr>
        <w:t>neuropsycholog</w:t>
      </w:r>
      <w:r w:rsidRPr="00DD3983" w:rsidR="00ED0348">
        <w:rPr>
          <w:rFonts w:ascii="Arial" w:hAnsi="Arial" w:cs="Arial"/>
          <w:color w:val="000000" w:themeColor="text1"/>
          <w:sz w:val="22"/>
          <w:szCs w:val="22"/>
        </w:rPr>
        <w:t>y</w:t>
      </w:r>
      <w:r w:rsidRPr="00DD3983">
        <w:rPr>
          <w:rFonts w:ascii="Arial" w:hAnsi="Arial" w:cs="Arial"/>
          <w:color w:val="000000" w:themeColor="text1"/>
          <w:sz w:val="22"/>
          <w:szCs w:val="22"/>
        </w:rPr>
        <w:t xml:space="preserve">, socio-demographic factors significantly impact test validity, with gender, reading level, and age representing 38.6% of the variance </w:t>
      </w:r>
      <w:r w:rsidRPr="00DD3983" w:rsidR="004F2BE2">
        <w:rPr>
          <w:rFonts w:ascii="Arial" w:hAnsi="Arial" w:cs="Arial"/>
          <w:color w:val="000000" w:themeColor="text1"/>
          <w:sz w:val="22"/>
          <w:szCs w:val="22"/>
        </w:rPr>
        <w:t>in a cognitive assessment</w:t>
      </w:r>
      <w:r w:rsidR="008E057B">
        <w:rPr>
          <w:rFonts w:ascii="Arial" w:hAnsi="Arial" w:cs="Arial"/>
          <w:color w:val="000000" w:themeColor="text1"/>
          <w:sz w:val="22"/>
          <w:szCs w:val="22"/>
        </w:rPr>
        <w:t>.</w:t>
      </w:r>
      <w:r w:rsidR="00214BC4">
        <w:rPr>
          <w:rFonts w:ascii="Arial" w:hAnsi="Arial" w:cs="Arial"/>
          <w:color w:val="000000" w:themeColor="text1"/>
          <w:sz w:val="22"/>
          <w:szCs w:val="22"/>
        </w:rPr>
        <w:fldChar w:fldCharType="begin"/>
      </w:r>
      <w:r w:rsidR="00025355">
        <w:rPr>
          <w:rFonts w:ascii="Arial" w:hAnsi="Arial" w:cs="Arial"/>
          <w:color w:val="000000" w:themeColor="text1"/>
          <w:sz w:val="22"/>
          <w:szCs w:val="22"/>
        </w:rPr>
        <w:instrText xml:space="preserve"> ADDIN ZOTERO_ITEM CSL_CITATION {"citationID":"5FrvAuga","properties":{"formattedCitation":"\\super 78\\nosupersub{}","plainCitation":"78","noteIndex":0},"citationItems":[{"id":"7XVybpWP/ft0l9J3N","uris":["http://zotero.org/users/14808070/items/8J987UL8"],"itemData":{"id":1106,"type":"article-journal","abstract":"Objectives\nPerformance on cognitive tests can be affected by age, education, and also selection bias. We examined the distribution of scores on a several cognitive screening tests by age and educational levels in a population-based cohort.\n\nMethod\nAn age-stratified random sample of individuals aged 65+ years was drawn from the electoral rolls of an urban U.S. community. Those obtaining age and education-corrected scores ≥ 21/30 on the Mini-Mental State Examination were designated as cognitively normal or only mildly impaired, and underwent a full assessment including a battery of neuropsychological tests. Participants were also rated on the Clinical Dementia Rating scale. The distribution of neuropsychological test scores within demographic strata, among those receiving a CDR of 0 (no dementia), are reported here as cognitive test norms. After combining individual test scores into cognitive domain composite scores, multiple linear regression models were used to examine associations of cognitive test performance with age, and education.\n\nResults\nIn this cognitively normal sample of older adults, younger age and higher education were associated with better performance in all cognitive domains. Age and education together explained 22% of the variation of memory, and less of executive function, language, attention, and visuospatial function.\n\nConclusion\nOlder age and lesser education are differentially associated with worse neuropsychological test performance in cognitively normal older adults representative of the community at large. The distribution of scores in these participants can serve as population-based norms for these tests, and be especially useful to clinicians and researchers assessing older adults outside specialty clinic settings.","container-title":"Aging &amp; mental health","DOI":"10.1080/13607860903071014","ISSN":"1360-7863","issue":"1","journalAbbreviation":"Aging Ment Health","note":"PMID: 20155526\nPMCID: PMC2828360","page":"100-107","source":"PubMed Central","title":"Age and education effects and norms on a cognitive test battery from a population-based cohort: The Monongahela –Youghiogheny Healthy Aging Team (MYHAT)","title-short":"Age and education effects and norms on a cognitive test battery from a population-based cohort","volume":"14","author":[{"family":"Ganguli","given":"Mary"},{"family":"Snitz","given":"Beth E."},{"family":"Lee","given":"Ching-Wen"},{"family":"Vanderbilt","given":"Joni"},{"family":"Saxton","given":"Judith A."},{"family":"Chang","given":"Chung-Chou H."}],"issued":{"date-parts":[["2010",1]]}}}],"schema":"https://github.com/citation-style-language/schema/raw/master/csl-citation.json"} </w:instrText>
      </w:r>
      <w:r w:rsidR="00214BC4">
        <w:rPr>
          <w:rFonts w:ascii="Arial" w:hAnsi="Arial" w:cs="Arial"/>
          <w:color w:val="000000" w:themeColor="text1"/>
          <w:sz w:val="22"/>
          <w:szCs w:val="22"/>
        </w:rPr>
        <w:fldChar w:fldCharType="separate"/>
      </w:r>
      <w:r w:rsidRPr="00025355" w:rsidR="00025355">
        <w:rPr>
          <w:rFonts w:ascii="Arial" w:hAnsi="Arial" w:cs="Arial"/>
          <w:sz w:val="22"/>
          <w:vertAlign w:val="superscript"/>
        </w:rPr>
        <w:t>78</w:t>
      </w:r>
      <w:r w:rsidR="00214BC4">
        <w:rPr>
          <w:rFonts w:ascii="Arial" w:hAnsi="Arial" w:cs="Arial"/>
          <w:color w:val="000000" w:themeColor="text1"/>
          <w:sz w:val="22"/>
          <w:szCs w:val="22"/>
        </w:rPr>
        <w:fldChar w:fldCharType="end"/>
      </w:r>
      <w:r w:rsidR="008E057B">
        <w:rPr>
          <w:rFonts w:ascii="Arial" w:hAnsi="Arial" w:cs="Arial"/>
          <w:color w:val="000000" w:themeColor="text1"/>
          <w:sz w:val="22"/>
          <w:szCs w:val="22"/>
        </w:rPr>
        <w:t xml:space="preserve"> </w:t>
      </w:r>
      <w:r w:rsidRPr="00DD3983">
        <w:rPr>
          <w:rFonts w:ascii="Arial" w:hAnsi="Arial" w:cs="Arial"/>
          <w:color w:val="000000" w:themeColor="text1"/>
          <w:sz w:val="22"/>
          <w:szCs w:val="22"/>
        </w:rPr>
        <w:t xml:space="preserve">Our results </w:t>
      </w:r>
      <w:r w:rsidRPr="00DD3983" w:rsidR="004F2BE2">
        <w:rPr>
          <w:rFonts w:ascii="Arial" w:hAnsi="Arial" w:cs="Arial"/>
          <w:color w:val="000000" w:themeColor="text1"/>
          <w:sz w:val="22"/>
          <w:szCs w:val="22"/>
        </w:rPr>
        <w:t xml:space="preserve">additionally </w:t>
      </w:r>
      <w:r w:rsidRPr="00DD3983">
        <w:rPr>
          <w:rFonts w:ascii="Arial" w:hAnsi="Arial" w:cs="Arial"/>
          <w:color w:val="000000" w:themeColor="text1"/>
          <w:sz w:val="22"/>
          <w:szCs w:val="22"/>
        </w:rPr>
        <w:t xml:space="preserve">highlight that cognitive assessments are typically validated on small, homogenous populations, limiting their applicability across diverse groups. Hispanic individuals </w:t>
      </w:r>
      <w:r w:rsidRPr="00DD3983" w:rsidR="00AC5D18">
        <w:rPr>
          <w:rFonts w:ascii="Arial" w:hAnsi="Arial" w:cs="Arial"/>
          <w:color w:val="000000" w:themeColor="text1"/>
          <w:sz w:val="22"/>
          <w:szCs w:val="22"/>
        </w:rPr>
        <w:t>for instance</w:t>
      </w:r>
      <w:r w:rsidRPr="00DD3983">
        <w:rPr>
          <w:rFonts w:ascii="Arial" w:hAnsi="Arial" w:cs="Arial"/>
          <w:color w:val="000000" w:themeColor="text1"/>
          <w:sz w:val="22"/>
          <w:szCs w:val="22"/>
        </w:rPr>
        <w:t xml:space="preserve"> were found to perform worse on cognitive assessments despite similar biomarker profiles to non-Hispanic Whites, suggesting that socioeconomic and educational disparities</w:t>
      </w:r>
      <w:r w:rsidRPr="00DD3983" w:rsidR="00180B7E">
        <w:rPr>
          <w:rFonts w:ascii="Arial" w:hAnsi="Arial" w:cs="Arial"/>
          <w:color w:val="000000" w:themeColor="text1"/>
          <w:sz w:val="22"/>
          <w:szCs w:val="22"/>
        </w:rPr>
        <w:t xml:space="preserve"> significantly </w:t>
      </w:r>
      <w:r w:rsidRPr="00DD3983">
        <w:rPr>
          <w:rFonts w:ascii="Arial" w:hAnsi="Arial" w:cs="Arial"/>
          <w:color w:val="000000" w:themeColor="text1"/>
          <w:sz w:val="22"/>
          <w:szCs w:val="22"/>
        </w:rPr>
        <w:t xml:space="preserve">contribute to </w:t>
      </w:r>
      <w:r w:rsidRPr="00DD3983" w:rsidR="004F2BE2">
        <w:rPr>
          <w:rFonts w:ascii="Arial" w:hAnsi="Arial" w:cs="Arial"/>
          <w:color w:val="000000" w:themeColor="text1"/>
          <w:sz w:val="22"/>
          <w:szCs w:val="22"/>
        </w:rPr>
        <w:t>under and mis</w:t>
      </w:r>
      <w:r w:rsidRPr="00DD3983">
        <w:rPr>
          <w:rFonts w:ascii="Arial" w:hAnsi="Arial" w:cs="Arial"/>
          <w:color w:val="000000" w:themeColor="text1"/>
          <w:sz w:val="22"/>
          <w:szCs w:val="22"/>
        </w:rPr>
        <w:t>diagnosis</w:t>
      </w:r>
      <w:r w:rsidR="00C51C89">
        <w:rPr>
          <w:rFonts w:ascii="Arial" w:hAnsi="Arial" w:cs="Arial"/>
          <w:color w:val="000000" w:themeColor="text1"/>
          <w:sz w:val="22"/>
          <w:szCs w:val="22"/>
        </w:rPr>
        <w:t>.</w:t>
      </w:r>
      <w:r w:rsidR="002D35CD">
        <w:rPr>
          <w:rFonts w:ascii="Arial" w:hAnsi="Arial" w:cs="Arial"/>
          <w:color w:val="000000" w:themeColor="text1"/>
          <w:sz w:val="22"/>
          <w:szCs w:val="22"/>
        </w:rPr>
        <w:fldChar w:fldCharType="begin"/>
      </w:r>
      <w:r w:rsidR="00025355">
        <w:rPr>
          <w:rFonts w:ascii="Arial" w:hAnsi="Arial" w:cs="Arial"/>
          <w:color w:val="000000" w:themeColor="text1"/>
          <w:sz w:val="22"/>
          <w:szCs w:val="22"/>
        </w:rPr>
        <w:instrText xml:space="preserve"> ADDIN ZOTERO_ITEM CSL_CITATION {"citationID":"qgm4lqIY","properties":{"formattedCitation":"\\super 79\\nosupersub{}","plainCitation":"79","noteIndex":0},"citationItems":[{"id":"7XVybpWP/KZD2sGCo","uris":["http://zotero.org/users/14808070/items/MGA94INI"],"itemData":{"id":1109,"type":"article-journal","abstract":"This study aimed to determine if patterns of neuropsychological deficits, vascular risk factors, and neuropathology differ in Hispanic and Non-Hispanic patients with autopsy-confirmed Alzheimer’s disease (AD). Participants were enrolled in a longitudinal study at the Shiley-Marcos AD Research Center at the University of California, San Diego. Hispanic (n = 14) and Non-Hispanic (n = 20) patients with autopsy-confirmed AD who scored ≥95 on the Dementia Rating Scale (DRS) were included. Patient groups were matched on age, education, global mental status, and severity of functional decline; they were compared to Hispanic (n = 14) or Non-Hispanic (n = 20) cognitively-normal controls of similar age and education. Ethnicity (Hispanic, Non-Hispanic) by disease state (autopsy-confirmed AD or cognitively normal) comparisons were made for cognitive test performance and vascular risk factors. Patient groups were further compared on measures of AD (Braak stage, neuritic plaques, neurofibrillary tangles), vascular neuropathology, and performance across cognitive domains of memory, language, attention, executive functions, and visuospatial abilities after scores were z-transformed based on respective culturally-appropriate control groups. Patient groups had similar overall AD pathology burden, whereas Hispanics with AD had more small parenchymal arteriolar disease and amyloid angiopathy than Non-Hispanics with AD. Despite largely similar pathology, Hispanics with AD were less cognitively impaired (relative to respective NC groups) than Non-Hispanics with AD, and exhibited a different pattern of deficits across cognitive domains. Findings suggest that cognitive deficits that are usually prominent in AD may be less salient in Hispanic patients and this may adversely impact the ability to clinically detect the disease in mild to moderate stages.","container-title":"Journal of Alzheimer's disease : JAD","DOI":"10.3233/JAD-180351","ISSN":"1387-2877","issue":"1","journalAbbreviation":"J Alzheimers Dis","note":"PMID: 30636736\nPMCID: PMC6925532","page":"291-302","source":"PubMed Central","title":"Neuropsychological Deficit Profiles, Vascular Risk Factors, and Neuropathological Findings in Hispanic Older Adults with Autopsy-Confirmed Alzheimer’s Disease","volume":"67","author":[{"family":"Weissberger","given":"Gali H."},{"family":"Gollan","given":"Tamar H."},{"family":"Bondi","given":"Mark W."},{"family":"Nation","given":"Daniel A."},{"family":"Hansen","given":"Lawrence A."},{"family":"Galasko","given":"Douglas"},{"family":"Salmon","given":"David P."}],"issued":{"date-parts":[["2019"]]}}}],"schema":"https://github.com/citation-style-language/schema/raw/master/csl-citation.json"} </w:instrText>
      </w:r>
      <w:r w:rsidR="002D35CD">
        <w:rPr>
          <w:rFonts w:ascii="Arial" w:hAnsi="Arial" w:cs="Arial"/>
          <w:color w:val="000000" w:themeColor="text1"/>
          <w:sz w:val="22"/>
          <w:szCs w:val="22"/>
        </w:rPr>
        <w:fldChar w:fldCharType="separate"/>
      </w:r>
      <w:r w:rsidRPr="00025355" w:rsidR="00025355">
        <w:rPr>
          <w:rFonts w:ascii="Arial" w:hAnsi="Arial" w:cs="Arial"/>
          <w:sz w:val="22"/>
          <w:vertAlign w:val="superscript"/>
        </w:rPr>
        <w:t>79</w:t>
      </w:r>
      <w:r w:rsidR="002D35CD">
        <w:rPr>
          <w:rFonts w:ascii="Arial" w:hAnsi="Arial" w:cs="Arial"/>
          <w:color w:val="000000" w:themeColor="text1"/>
          <w:sz w:val="22"/>
          <w:szCs w:val="22"/>
        </w:rPr>
        <w:fldChar w:fldCharType="end"/>
      </w:r>
    </w:p>
    <w:p w:rsidRPr="00DD3983" w:rsidR="001B6CCD" w:rsidP="006618CC" w:rsidRDefault="004F2BE2" w14:paraId="57E803E0" w14:textId="68E73A3C">
      <w:pPr>
        <w:pStyle w:val="paragraph"/>
        <w:spacing w:before="0" w:after="0"/>
        <w:jc w:val="both"/>
        <w:textAlignment w:val="baseline"/>
        <w:rPr>
          <w:rStyle w:val="normaltextrun"/>
          <w:rFonts w:ascii="Arial" w:hAnsi="Arial" w:cs="Arial" w:eastAsiaTheme="majorEastAsia"/>
          <w:color w:val="000000" w:themeColor="text1"/>
          <w:sz w:val="22"/>
          <w:szCs w:val="22"/>
        </w:rPr>
      </w:pPr>
      <w:r w:rsidRPr="00DD3983">
        <w:rPr>
          <w:rStyle w:val="normaltextrun"/>
          <w:rFonts w:ascii="Arial" w:hAnsi="Arial" w:cs="Arial" w:eastAsiaTheme="majorEastAsia"/>
          <w:color w:val="000000" w:themeColor="text1"/>
          <w:sz w:val="22"/>
          <w:szCs w:val="22"/>
        </w:rPr>
        <w:t>C</w:t>
      </w:r>
      <w:r w:rsidRPr="00DD3983" w:rsidR="00E01FF3">
        <w:rPr>
          <w:rStyle w:val="normaltextrun"/>
          <w:rFonts w:ascii="Arial" w:hAnsi="Arial" w:cs="Arial" w:eastAsiaTheme="majorEastAsia"/>
          <w:color w:val="000000" w:themeColor="text1"/>
          <w:sz w:val="22"/>
          <w:szCs w:val="22"/>
        </w:rPr>
        <w:t>urrent diagnostic criteri</w:t>
      </w:r>
      <w:r w:rsidRPr="00DD3983">
        <w:rPr>
          <w:rStyle w:val="normaltextrun"/>
          <w:rFonts w:ascii="Arial" w:hAnsi="Arial" w:cs="Arial" w:eastAsiaTheme="majorEastAsia"/>
          <w:color w:val="000000" w:themeColor="text1"/>
          <w:sz w:val="22"/>
          <w:szCs w:val="22"/>
        </w:rPr>
        <w:t>on</w:t>
      </w:r>
      <w:r w:rsidRPr="00DD3983" w:rsidR="00E01FF3">
        <w:rPr>
          <w:rStyle w:val="normaltextrun"/>
          <w:rFonts w:ascii="Arial" w:hAnsi="Arial" w:cs="Arial" w:eastAsiaTheme="majorEastAsia"/>
          <w:color w:val="000000" w:themeColor="text1"/>
          <w:sz w:val="22"/>
          <w:szCs w:val="22"/>
        </w:rPr>
        <w:t xml:space="preserve"> and assessment tools have </w:t>
      </w:r>
      <w:proofErr w:type="gramStart"/>
      <w:r w:rsidRPr="00DD3983" w:rsidR="00E01FF3">
        <w:rPr>
          <w:rStyle w:val="normaltextrun"/>
          <w:rFonts w:ascii="Arial" w:hAnsi="Arial" w:cs="Arial" w:eastAsiaTheme="majorEastAsia"/>
          <w:color w:val="000000" w:themeColor="text1"/>
          <w:sz w:val="22"/>
          <w:szCs w:val="22"/>
        </w:rPr>
        <w:t>been primarily developed</w:t>
      </w:r>
      <w:proofErr w:type="gramEnd"/>
      <w:r w:rsidRPr="00DD3983" w:rsidR="00E01FF3">
        <w:rPr>
          <w:rStyle w:val="normaltextrun"/>
          <w:rFonts w:ascii="Arial" w:hAnsi="Arial" w:cs="Arial" w:eastAsiaTheme="majorEastAsia"/>
          <w:color w:val="000000" w:themeColor="text1"/>
          <w:sz w:val="22"/>
          <w:szCs w:val="22"/>
        </w:rPr>
        <w:t xml:space="preserve"> and validated predominantly</w:t>
      </w:r>
      <w:r w:rsidRPr="00DD3983" w:rsidR="003F69AE">
        <w:rPr>
          <w:rStyle w:val="normaltextrun"/>
          <w:rFonts w:ascii="Arial" w:hAnsi="Arial" w:cs="Arial" w:eastAsiaTheme="majorEastAsia"/>
          <w:color w:val="000000" w:themeColor="text1"/>
          <w:sz w:val="22"/>
          <w:szCs w:val="22"/>
        </w:rPr>
        <w:t xml:space="preserve"> </w:t>
      </w:r>
      <w:r w:rsidRPr="00DD3983" w:rsidR="00AC5D18">
        <w:rPr>
          <w:rStyle w:val="normaltextrun"/>
          <w:rFonts w:ascii="Arial" w:hAnsi="Arial" w:cs="Arial" w:eastAsiaTheme="majorEastAsia"/>
          <w:color w:val="000000" w:themeColor="text1"/>
          <w:sz w:val="22"/>
          <w:szCs w:val="22"/>
        </w:rPr>
        <w:t>using</w:t>
      </w:r>
      <w:r w:rsidRPr="00DD3983" w:rsidR="00E01FF3">
        <w:rPr>
          <w:rStyle w:val="normaltextrun"/>
          <w:rFonts w:ascii="Arial" w:hAnsi="Arial" w:cs="Arial" w:eastAsiaTheme="majorEastAsia"/>
          <w:color w:val="000000" w:themeColor="text1"/>
          <w:sz w:val="22"/>
          <w:szCs w:val="22"/>
        </w:rPr>
        <w:t xml:space="preserve"> non-Hispanic White population</w:t>
      </w:r>
      <w:r w:rsidRPr="00DD3983">
        <w:rPr>
          <w:rStyle w:val="normaltextrun"/>
          <w:rFonts w:ascii="Arial" w:hAnsi="Arial" w:cs="Arial" w:eastAsiaTheme="majorEastAsia"/>
          <w:color w:val="000000" w:themeColor="text1"/>
          <w:sz w:val="22"/>
          <w:szCs w:val="22"/>
        </w:rPr>
        <w:t>s</w:t>
      </w:r>
      <w:r w:rsidRPr="00DD3983" w:rsidR="00E01FF3">
        <w:rPr>
          <w:rStyle w:val="normaltextrun"/>
          <w:rFonts w:ascii="Arial" w:hAnsi="Arial" w:cs="Arial" w:eastAsiaTheme="majorEastAsia"/>
          <w:color w:val="000000" w:themeColor="text1"/>
          <w:sz w:val="22"/>
          <w:szCs w:val="22"/>
        </w:rPr>
        <w:t xml:space="preserve"> </w:t>
      </w:r>
      <w:r w:rsidRPr="00DD3983" w:rsidR="003F69AE">
        <w:rPr>
          <w:rStyle w:val="normaltextrun"/>
          <w:rFonts w:ascii="Arial" w:hAnsi="Arial" w:cs="Arial" w:eastAsiaTheme="majorEastAsia"/>
          <w:color w:val="000000" w:themeColor="text1"/>
          <w:sz w:val="22"/>
          <w:szCs w:val="22"/>
        </w:rPr>
        <w:t>rais</w:t>
      </w:r>
      <w:r w:rsidRPr="00DD3983">
        <w:rPr>
          <w:rStyle w:val="normaltextrun"/>
          <w:rFonts w:ascii="Arial" w:hAnsi="Arial" w:cs="Arial" w:eastAsiaTheme="majorEastAsia"/>
          <w:color w:val="000000" w:themeColor="text1"/>
          <w:sz w:val="22"/>
          <w:szCs w:val="22"/>
        </w:rPr>
        <w:t>ing</w:t>
      </w:r>
      <w:r w:rsidRPr="00DD3983" w:rsidR="003F69AE">
        <w:rPr>
          <w:rStyle w:val="normaltextrun"/>
          <w:rFonts w:ascii="Arial" w:hAnsi="Arial" w:cs="Arial" w:eastAsiaTheme="majorEastAsia"/>
          <w:color w:val="000000" w:themeColor="text1"/>
          <w:sz w:val="22"/>
          <w:szCs w:val="22"/>
        </w:rPr>
        <w:t xml:space="preserve"> critical questions about </w:t>
      </w:r>
      <w:r w:rsidRPr="00DD3983" w:rsidR="0015004C">
        <w:rPr>
          <w:rStyle w:val="normaltextrun"/>
          <w:rFonts w:ascii="Arial" w:hAnsi="Arial" w:cs="Arial" w:eastAsiaTheme="majorEastAsia"/>
          <w:color w:val="000000" w:themeColor="text1"/>
          <w:sz w:val="22"/>
          <w:szCs w:val="22"/>
        </w:rPr>
        <w:t>widespread applicability</w:t>
      </w:r>
      <w:r w:rsidRPr="00DD3983" w:rsidR="003F69AE">
        <w:rPr>
          <w:rStyle w:val="normaltextrun"/>
          <w:rFonts w:ascii="Arial" w:hAnsi="Arial" w:cs="Arial" w:eastAsiaTheme="majorEastAsia"/>
          <w:color w:val="000000" w:themeColor="text1"/>
          <w:sz w:val="22"/>
          <w:szCs w:val="22"/>
        </w:rPr>
        <w:t>.</w:t>
      </w:r>
      <w:r w:rsidRPr="00DD3983" w:rsidR="00E01FF3">
        <w:rPr>
          <w:rStyle w:val="normaltextrun"/>
          <w:rFonts w:ascii="Arial" w:hAnsi="Arial" w:cs="Arial" w:eastAsiaTheme="majorEastAsia"/>
          <w:color w:val="000000" w:themeColor="text1"/>
          <w:sz w:val="22"/>
          <w:szCs w:val="22"/>
        </w:rPr>
        <w:t xml:space="preserve"> This lack of inclusivity exacerbates healthcare disparities, disproportionately impacting historically underserved populations</w:t>
      </w:r>
      <w:r w:rsidR="00AB4F13">
        <w:rPr>
          <w:rStyle w:val="normaltextrun"/>
          <w:rFonts w:ascii="Arial" w:hAnsi="Arial" w:cs="Arial" w:eastAsiaTheme="majorEastAsia"/>
          <w:color w:val="000000" w:themeColor="text1"/>
          <w:sz w:val="22"/>
          <w:szCs w:val="22"/>
        </w:rPr>
        <w:t>.</w:t>
      </w:r>
      <w:r w:rsidRPr="00DD3983" w:rsidR="00E01FF3">
        <w:rPr>
          <w:rStyle w:val="normaltextrun"/>
          <w:rFonts w:ascii="Arial" w:hAnsi="Arial" w:cs="Arial" w:eastAsiaTheme="majorEastAsia"/>
          <w:color w:val="000000" w:themeColor="text1"/>
          <w:sz w:val="22"/>
          <w:szCs w:val="22"/>
        </w:rPr>
        <w:fldChar w:fldCharType="begin"/>
      </w:r>
      <w:r w:rsidR="00025355">
        <w:rPr>
          <w:rStyle w:val="normaltextrun"/>
          <w:rFonts w:ascii="Arial" w:hAnsi="Arial" w:cs="Arial" w:eastAsiaTheme="majorEastAsia"/>
          <w:color w:val="000000" w:themeColor="text1"/>
          <w:sz w:val="22"/>
          <w:szCs w:val="22"/>
        </w:rPr>
        <w:instrText xml:space="preserve"> ADDIN ZOTERO_ITEM CSL_CITATION {"citationID":"Lu3NoziO","properties":{"formattedCitation":"\\super 80\\nosupersub{}","plainCitation":"80","noteIndex":0},"citationItems":[{"id":"7XVybpWP/3EA0Z0Lw","uris":["http://zotero.org/users/14808070/items/BXZDFWAJ"],"itemData":{"id":1081,"type":"article-journal","abstract":"The Alzheimer's Disease Neuroimaging Initiative (ADNI) aims to improve Alzheimer's disease (AD) clinical trials. Since 2006, ADNI has shared clinical, neuroimaging, and cognitive data, and biofluid samples. We used conventional search methods to identify 1459 publications from 2021 to 2022 using ADNI data/samples and reviewed 291 impactful studies. This review details how ADNI studies improved disease progression understanding and clinical trial efficiency. Advances in subject selection, detection of treatment effects, harmonization, and modeling improved clinical trials and plasma biomarkers like phosphorylated tau showed promise for clinical use. Biomarkers of amyloid beta, tau, neurodegeneration, inflammation, and others were prognostic with individualized prediction algorithms available online. Studies supported the amyloid cascade, emphasized the importance of neuroinflammation, and detailed widespread heterogeneity in disease, linked to genetic and vascular risk, co-pathologies, sex, and resilience. Biological subtypes were consistently observed. Generalizability of ADNI results is limited by lack of cohort diversity, an issue ADNI-4 aims to address by enrolling a diverse cohort.","container-title":"Alzheimer's &amp; Dementia","DOI":"10.1002/alz.13449","ISSN":"1552-5279","issue":"1","language":"en","license":"© 2023 The Authors. Alzheimer's &amp; Dementia published by Wiley Periodicals LLC on behalf of Alzheimer's Association.","note":"_eprint: https://onlinelibrary.wiley.com/doi/pdf/10.1002/alz.13449","page":"652-694","source":"Wiley Online Library","title":"The Alzheimer's Disease Neuroimaging Initiative in the era of Alzheimer's disease treatment: A review of ADNI studies from 2021 to 2022","title-short":"The Alzheimer's Disease Neuroimaging Initiative in the era of Alzheimer's disease treatment","volume":"20","author":[{"family":"Veitch","given":"Dallas P."},{"family":"Weiner","given":"Michael W."},{"family":"Miller","given":"Melanie"},{"family":"Aisen","given":"Paul S."},{"family":"Ashford","given":"Miriam A."},{"family":"Beckett","given":"Laurel A."},{"family":"Green","given":"Robert C."},{"family":"Harvey","given":"Danielle"},{"family":"Jack Jr.","given":"Clifford R."},{"family":"Jagust","given":"William"},{"family":"Landau","given":"Susan M."},{"family":"Morris","given":"John C."},{"family":"Nho","given":"Kwangsik T."},{"family":"Nosheny","given":"Rachel"},{"family":"Okonkwo","given":"Ozioma"},{"family":"Perrin","given":"Richard J."},{"family":"Petersen","given":"Ronald C."},{"family":"Rivera Mindt","given":"Monica"},{"family":"Saykin","given":"Andrew"},{"family":"Shaw","given":"Leslie M."},{"family":"Toga","given":"Arthur W."},{"family":"Tosun","given":"Duygu"},{"family":"Initiative","given":"for the Alzheimer's Disease Neuroimaging"}],"issued":{"date-parts":[["2024"]]}}}],"schema":"https://github.com/citation-style-language/schema/raw/master/csl-citation.json"} </w:instrText>
      </w:r>
      <w:r w:rsidRPr="00DD3983" w:rsidR="00E01FF3">
        <w:rPr>
          <w:rStyle w:val="normaltextrun"/>
          <w:rFonts w:ascii="Arial" w:hAnsi="Arial" w:cs="Arial" w:eastAsiaTheme="majorEastAsia"/>
          <w:color w:val="000000" w:themeColor="text1"/>
          <w:sz w:val="22"/>
          <w:szCs w:val="22"/>
        </w:rPr>
        <w:fldChar w:fldCharType="separate"/>
      </w:r>
      <w:r w:rsidRPr="00025355" w:rsidR="00025355">
        <w:rPr>
          <w:rFonts w:ascii="Arial" w:hAnsi="Arial" w:cs="Arial"/>
          <w:sz w:val="22"/>
          <w:vertAlign w:val="superscript"/>
        </w:rPr>
        <w:t>80</w:t>
      </w:r>
      <w:r w:rsidRPr="00DD3983" w:rsidR="00E01FF3">
        <w:rPr>
          <w:rStyle w:val="normaltextrun"/>
          <w:rFonts w:ascii="Arial" w:hAnsi="Arial" w:cs="Arial" w:eastAsiaTheme="majorEastAsia"/>
          <w:color w:val="000000" w:themeColor="text1"/>
          <w:sz w:val="22"/>
          <w:szCs w:val="22"/>
        </w:rPr>
        <w:fldChar w:fldCharType="end"/>
      </w:r>
      <w:r w:rsidR="00AB4F13">
        <w:rPr>
          <w:rStyle w:val="normaltextrun"/>
          <w:rFonts w:ascii="Arial" w:hAnsi="Arial" w:cs="Arial" w:eastAsiaTheme="majorEastAsia"/>
          <w:color w:val="000000" w:themeColor="text1"/>
          <w:sz w:val="22"/>
          <w:szCs w:val="22"/>
        </w:rPr>
        <w:t xml:space="preserve"> </w:t>
      </w:r>
      <w:r w:rsidRPr="00DD3983" w:rsidR="00FB7FD6">
        <w:rPr>
          <w:rStyle w:val="eop"/>
          <w:rFonts w:ascii="Arial" w:hAnsi="Arial" w:cs="Arial" w:eastAsiaTheme="majorEastAsia"/>
          <w:color w:val="000000" w:themeColor="text1"/>
          <w:sz w:val="22"/>
          <w:szCs w:val="22"/>
        </w:rPr>
        <w:t xml:space="preserve">Even </w:t>
      </w:r>
      <w:r w:rsidRPr="00DD3983" w:rsidR="00557FD9">
        <w:rPr>
          <w:rStyle w:val="eop"/>
          <w:rFonts w:ascii="Arial" w:hAnsi="Arial" w:cs="Arial" w:eastAsiaTheme="majorEastAsia"/>
          <w:color w:val="000000" w:themeColor="text1"/>
          <w:sz w:val="22"/>
          <w:szCs w:val="22"/>
        </w:rPr>
        <w:t>large-scale</w:t>
      </w:r>
      <w:r w:rsidRPr="00DD3983" w:rsidR="00FB7FD6">
        <w:rPr>
          <w:rStyle w:val="eop"/>
          <w:rFonts w:ascii="Arial" w:hAnsi="Arial" w:cs="Arial" w:eastAsiaTheme="majorEastAsia"/>
          <w:color w:val="000000" w:themeColor="text1"/>
          <w:sz w:val="22"/>
          <w:szCs w:val="22"/>
        </w:rPr>
        <w:t xml:space="preserve"> </w:t>
      </w:r>
      <w:r w:rsidRPr="00DD3983" w:rsidR="00933013">
        <w:rPr>
          <w:rStyle w:val="eop"/>
          <w:rFonts w:ascii="Arial" w:hAnsi="Arial" w:cs="Arial" w:eastAsiaTheme="majorEastAsia"/>
          <w:color w:val="000000" w:themeColor="text1"/>
          <w:sz w:val="22"/>
          <w:szCs w:val="22"/>
        </w:rPr>
        <w:t xml:space="preserve">approaches such as </w:t>
      </w:r>
      <w:r w:rsidRPr="00DD3983" w:rsidR="00933013">
        <w:rPr>
          <w:rStyle w:val="Emphasis"/>
          <w:rFonts w:ascii="Arial" w:hAnsi="Arial" w:cs="Arial" w:eastAsiaTheme="majorEastAsia"/>
          <w:i w:val="0"/>
          <w:color w:val="000000" w:themeColor="text1"/>
          <w:sz w:val="22"/>
          <w:szCs w:val="22"/>
        </w:rPr>
        <w:t>t</w:t>
      </w:r>
      <w:r w:rsidRPr="00DD3983" w:rsidR="00FB7FD6">
        <w:rPr>
          <w:rStyle w:val="Emphasis"/>
          <w:rFonts w:ascii="Arial" w:hAnsi="Arial" w:cs="Arial" w:eastAsiaTheme="majorEastAsia"/>
          <w:i w:val="0"/>
          <w:color w:val="000000" w:themeColor="text1"/>
          <w:sz w:val="22"/>
          <w:szCs w:val="22"/>
        </w:rPr>
        <w:t>he Alzheimer's Disease Neuroimaging Initiative (ADNI) dataset predominantly features non-Hispanic White participants, creating significant representation gaps for Black, Hispanic, and Asian populations. This lack of diversity compromises the universal applicability of biomarkers</w:t>
      </w:r>
      <w:r w:rsidRPr="00DD3983" w:rsidR="00322BB3">
        <w:rPr>
          <w:rStyle w:val="Emphasis"/>
          <w:rFonts w:ascii="Arial" w:hAnsi="Arial" w:cs="Arial" w:eastAsiaTheme="majorEastAsia"/>
          <w:i w:val="0"/>
          <w:color w:val="000000" w:themeColor="text1"/>
          <w:sz w:val="22"/>
          <w:szCs w:val="22"/>
        </w:rPr>
        <w:t>,</w:t>
      </w:r>
      <w:r w:rsidRPr="00DD3983" w:rsidR="00FB7FD6">
        <w:rPr>
          <w:rStyle w:val="Emphasis"/>
          <w:rFonts w:ascii="Arial" w:hAnsi="Arial" w:cs="Arial" w:eastAsiaTheme="majorEastAsia"/>
          <w:i w:val="0"/>
          <w:color w:val="000000" w:themeColor="text1"/>
          <w:sz w:val="22"/>
          <w:szCs w:val="22"/>
        </w:rPr>
        <w:t xml:space="preserve"> diagnostic thresholds</w:t>
      </w:r>
      <w:r w:rsidRPr="00DD3983" w:rsidR="00322BB3">
        <w:rPr>
          <w:rStyle w:val="Emphasis"/>
          <w:rFonts w:ascii="Arial" w:hAnsi="Arial" w:cs="Arial" w:eastAsiaTheme="majorEastAsia"/>
          <w:i w:val="0"/>
          <w:color w:val="000000" w:themeColor="text1"/>
          <w:sz w:val="22"/>
          <w:szCs w:val="22"/>
        </w:rPr>
        <w:t>, and even emerging treatment efficacy</w:t>
      </w:r>
      <w:r w:rsidRPr="00DD3983" w:rsidR="00FB7FD6">
        <w:rPr>
          <w:rStyle w:val="Emphasis"/>
          <w:rFonts w:ascii="Arial" w:hAnsi="Arial" w:cs="Arial" w:eastAsiaTheme="majorEastAsia"/>
          <w:i w:val="0"/>
          <w:color w:val="000000" w:themeColor="text1"/>
          <w:sz w:val="22"/>
          <w:szCs w:val="22"/>
        </w:rPr>
        <w:t>. Research reveals critical discrepancies in cerebrospinal fluid biomarkers across racial groups, even with similar amyloid-beta levels, which can lead to diagnostic misclassification and perpetuate health inequities</w:t>
      </w:r>
      <w:r w:rsidR="00AB4F13">
        <w:rPr>
          <w:rStyle w:val="Emphasis"/>
          <w:rFonts w:ascii="Arial" w:hAnsi="Arial" w:cs="Arial" w:eastAsiaTheme="majorEastAsia"/>
          <w:i w:val="0"/>
          <w:color w:val="000000" w:themeColor="text1"/>
          <w:sz w:val="22"/>
          <w:szCs w:val="22"/>
        </w:rPr>
        <w:t>.</w:t>
      </w:r>
      <w:r w:rsidRPr="00FA1E00" w:rsidR="00FB7FD6">
        <w:rPr>
          <w:rStyle w:val="normaltextrun"/>
          <w:rFonts w:ascii="Arial" w:hAnsi="Arial" w:cs="Arial" w:eastAsiaTheme="majorEastAsia"/>
          <w:i/>
          <w:color w:val="000000" w:themeColor="text1"/>
          <w:sz w:val="22"/>
          <w:szCs w:val="22"/>
        </w:rPr>
        <w:fldChar w:fldCharType="begin"/>
      </w:r>
      <w:r w:rsidR="00025355">
        <w:rPr>
          <w:rStyle w:val="normaltextrun"/>
          <w:rFonts w:ascii="Arial" w:hAnsi="Arial" w:cs="Arial" w:eastAsiaTheme="majorEastAsia"/>
          <w:i/>
          <w:color w:val="000000" w:themeColor="text1"/>
          <w:sz w:val="22"/>
          <w:szCs w:val="22"/>
        </w:rPr>
        <w:instrText xml:space="preserve"> ADDIN ZOTERO_ITEM CSL_CITATION {"citationID":"uMSeSp9r","properties":{"formattedCitation":"\\super 80\\nosupersub{}","plainCitation":"80","noteIndex":0},"citationItems":[{"id":"7XVybpWP/3EA0Z0Lw","uris":["http://zotero.org/users/14808070/items/BXZDFWAJ"],"itemData":{"id":1081,"type":"article-journal","abstract":"The Alzheimer's Disease Neuroimaging Initiative (ADNI) aims to improve Alzheimer's disease (AD) clinical trials. Since 2006, ADNI has shared clinical, neuroimaging, and cognitive data, and biofluid samples. We used conventional search methods to identify 1459 publications from 2021 to 2022 using ADNI data/samples and reviewed 291 impactful studies. This review details how ADNI studies improved disease progression understanding and clinical trial efficiency. Advances in subject selection, detection of treatment effects, harmonization, and modeling improved clinical trials and plasma biomarkers like phosphorylated tau showed promise for clinical use. Biomarkers of amyloid beta, tau, neurodegeneration, inflammation, and others were prognostic with individualized prediction algorithms available online. Studies supported the amyloid cascade, emphasized the importance of neuroinflammation, and detailed widespread heterogeneity in disease, linked to genetic and vascular risk, co-pathologies, sex, and resilience. Biological subtypes were consistently observed. Generalizability of ADNI results is limited by lack of cohort diversity, an issue ADNI-4 aims to address by enrolling a diverse cohort.","container-title":"Alzheimer's &amp; Dementia","DOI":"10.1002/alz.13449","ISSN":"1552-5279","issue":"1","language":"en","license":"© 2023 The Authors. Alzheimer's &amp; Dementia published by Wiley Periodicals LLC on behalf of Alzheimer's Association.","note":"_eprint: https://onlinelibrary.wiley.com/doi/pdf/10.1002/alz.13449","page":"652-694","source":"Wiley Online Library","title":"The Alzheimer's Disease Neuroimaging Initiative in the era of Alzheimer's disease treatment: A review of ADNI studies from 2021 to 2022","title-short":"The Alzheimer's Disease Neuroimaging Initiative in the era of Alzheimer's disease treatment","volume":"20","author":[{"family":"Veitch","given":"Dallas P."},{"family":"Weiner","given":"Michael W."},{"family":"Miller","given":"Melanie"},{"family":"Aisen","given":"Paul S."},{"family":"Ashford","given":"Miriam A."},{"family":"Beckett","given":"Laurel A."},{"family":"Green","given":"Robert C."},{"family":"Harvey","given":"Danielle"},{"family":"Jack Jr.","given":"Clifford R."},{"family":"Jagust","given":"William"},{"family":"Landau","given":"Susan M."},{"family":"Morris","given":"John C."},{"family":"Nho","given":"Kwangsik T."},{"family":"Nosheny","given":"Rachel"},{"family":"Okonkwo","given":"Ozioma"},{"family":"Perrin","given":"Richard J."},{"family":"Petersen","given":"Ronald C."},{"family":"Rivera Mindt","given":"Monica"},{"family":"Saykin","given":"Andrew"},{"family":"Shaw","given":"Leslie M."},{"family":"Toga","given":"Arthur W."},{"family":"Tosun","given":"Duygu"},{"family":"Initiative","given":"for the Alzheimer's Disease Neuroimaging"}],"issued":{"date-parts":[["2024"]]}}}],"schema":"https://github.com/citation-style-language/schema/raw/master/csl-citation.json"} </w:instrText>
      </w:r>
      <w:r w:rsidRPr="00FA1E00" w:rsidR="00FB7FD6">
        <w:rPr>
          <w:rStyle w:val="normaltextrun"/>
          <w:rFonts w:ascii="Arial" w:hAnsi="Arial" w:cs="Arial" w:eastAsiaTheme="majorEastAsia"/>
          <w:i/>
          <w:color w:val="000000" w:themeColor="text1"/>
          <w:sz w:val="22"/>
          <w:szCs w:val="22"/>
        </w:rPr>
        <w:fldChar w:fldCharType="separate"/>
      </w:r>
      <w:r w:rsidRPr="00025355" w:rsidR="00025355">
        <w:rPr>
          <w:rFonts w:ascii="Arial" w:hAnsi="Arial" w:cs="Arial"/>
          <w:sz w:val="22"/>
          <w:vertAlign w:val="superscript"/>
        </w:rPr>
        <w:t>80</w:t>
      </w:r>
      <w:r w:rsidRPr="00FA1E00" w:rsidR="00FB7FD6">
        <w:rPr>
          <w:rStyle w:val="normaltextrun"/>
          <w:rFonts w:ascii="Arial" w:hAnsi="Arial" w:cs="Arial" w:eastAsiaTheme="majorEastAsia"/>
          <w:i/>
          <w:color w:val="000000" w:themeColor="text1"/>
          <w:sz w:val="22"/>
          <w:szCs w:val="22"/>
        </w:rPr>
        <w:fldChar w:fldCharType="end"/>
      </w:r>
      <w:r w:rsidR="00AB4F13">
        <w:rPr>
          <w:rStyle w:val="normaltextrun"/>
          <w:rFonts w:ascii="Arial" w:hAnsi="Arial" w:cs="Arial" w:eastAsiaTheme="majorEastAsia"/>
          <w:i/>
          <w:color w:val="000000" w:themeColor="text1"/>
          <w:sz w:val="22"/>
          <w:szCs w:val="22"/>
        </w:rPr>
        <w:t xml:space="preserve"> </w:t>
      </w:r>
      <w:r w:rsidRPr="00DD3983" w:rsidR="001B6CCD">
        <w:rPr>
          <w:rFonts w:ascii="Arial" w:hAnsi="Arial" w:cs="Arial" w:eastAsiaTheme="majorEastAsia"/>
          <w:color w:val="000000" w:themeColor="text1"/>
          <w:sz w:val="22"/>
          <w:szCs w:val="22"/>
        </w:rPr>
        <w:t>The impact of limited generalizability extends to cultural contexts as well. Our results demonstrated that within American communities of Asian, Native Hawaiian, and Pacific Islander ancestry, low awareness of AD contributes to ambiguity between pathological decline and normal aging</w:t>
      </w:r>
      <w:r w:rsidR="00E47758">
        <w:rPr>
          <w:rFonts w:ascii="Arial" w:hAnsi="Arial" w:cs="Arial" w:eastAsiaTheme="majorEastAsia"/>
          <w:color w:val="000000" w:themeColor="text1"/>
          <w:sz w:val="22"/>
          <w:szCs w:val="22"/>
        </w:rPr>
        <w:t>.</w:t>
      </w:r>
      <w:r w:rsidR="00D16A4B">
        <w:rPr>
          <w:rFonts w:ascii="Arial" w:hAnsi="Arial" w:cs="Arial" w:eastAsiaTheme="majorEastAsia"/>
          <w:color w:val="000000" w:themeColor="text1"/>
          <w:sz w:val="22"/>
          <w:szCs w:val="22"/>
        </w:rPr>
        <w:fldChar w:fldCharType="begin"/>
      </w:r>
      <w:r w:rsidR="00025355">
        <w:rPr>
          <w:rFonts w:ascii="Arial" w:hAnsi="Arial" w:cs="Arial" w:eastAsiaTheme="majorEastAsia"/>
          <w:color w:val="000000" w:themeColor="text1"/>
          <w:sz w:val="22"/>
          <w:szCs w:val="22"/>
        </w:rPr>
        <w:instrText xml:space="preserve"> ADDIN ZOTERO_ITEM CSL_CITATION {"citationID":"zon74UyT","properties":{"formattedCitation":"\\super 74\\nosupersub{}","plainCitation":"74","noteIndex":0},"citationItems":[{"id":"7XVybpWP/3A8KLjeW","uris":["http://zotero.org/users/14808070/items/HKX7BSSJ"],"itemData":{"id":1073,"type":"article-journal","abstract":"Alzheimer's disease and related dementias (AD/ADRD) disparities exist in the rapidly growing and extremely heterogeneous Asian American and Native Hawaiian and Pacific Islander (NH/PI) ageing populations in the United States. Limited community-clinical resources supporting culturally competent and timely diagnosis exacerbate barriers to existing care services in these populations. Community-based participatory research or community-engaged research are proven community-academic research approaches that can support the development and implementation of community-focused programmes to maximise community benefit. The NYU Center for the Study of Asian American Health engaged our national and local community partners to gain a deeper understanding of AD/ADRD in this diverse and growing population, to develop a strategic community-engaged research agenda to understand, address and reduce AD/ADRD disparities among Asian American and NH/PI communities. Findings from an initial scoping review identified significant research gaps. We conducted a series of key informant interviews (n = 11) and a modified Delphi survey (n = 14) with Asian American and NH/PI community leaders and older adult service providers followed by a facilitated group discussion of survey findings to gain consensus on key priority research areas identified in the literature and to determine culturally and contextually appropriate approaches to support AD/ADRD prevention, early identification and treatment in Asian American and NH/PI communities. Future research and health education should focus on raising Asian American and NH/PI basic individual- and community-level awareness about AD/ADRD and leveraging existing community assets to integrate effective engagement strategies to access AD/ADRD services within the healthcare system.","container-title":"Health &amp; Social Care in the Community","DOI":"10.1111/hsc.14025","ISSN":"1365-2524","issue":"6","journalAbbreviation":"Health Soc Care Community","language":"eng","note":"PMID: 36102595\nPMCID: PMC10069713","page":"e5946-e5958","source":"PubMed","title":"Exploring community knowledge, attitudes and perceptions of Alzheimer's Disease/Alzheimer's Disease-Related Dementias and healthy ageing in Asian American, Native Hawaiian and Pacific Islanders","volume":"30","author":[{"family":"Wong","given":"Jennifer A."},{"family":"Min","given":"Deborah K."},{"family":"Kranick","given":"Julie"},{"family":"Ushasri","given":"Harini"},{"family":"Trinh-Shevrin","given":"Chau"},{"family":"Kwon","given":"Simona C."}],"issued":{"date-parts":[["2022",11]]}}}],"schema":"https://github.com/citation-style-language/schema/raw/master/csl-citation.json"} </w:instrText>
      </w:r>
      <w:r w:rsidR="00D16A4B">
        <w:rPr>
          <w:rFonts w:ascii="Arial" w:hAnsi="Arial" w:cs="Arial" w:eastAsiaTheme="majorEastAsia"/>
          <w:color w:val="000000" w:themeColor="text1"/>
          <w:sz w:val="22"/>
          <w:szCs w:val="22"/>
        </w:rPr>
        <w:fldChar w:fldCharType="separate"/>
      </w:r>
      <w:r w:rsidRPr="00025355" w:rsidR="00025355">
        <w:rPr>
          <w:rFonts w:ascii="Arial" w:hAnsi="Arial" w:cs="Arial"/>
          <w:sz w:val="22"/>
          <w:vertAlign w:val="superscript"/>
        </w:rPr>
        <w:t>74</w:t>
      </w:r>
      <w:r w:rsidR="00D16A4B">
        <w:rPr>
          <w:rFonts w:ascii="Arial" w:hAnsi="Arial" w:cs="Arial" w:eastAsiaTheme="majorEastAsia"/>
          <w:color w:val="000000" w:themeColor="text1"/>
          <w:sz w:val="22"/>
          <w:szCs w:val="22"/>
        </w:rPr>
        <w:fldChar w:fldCharType="end"/>
      </w:r>
      <w:r w:rsidRPr="00DD3983" w:rsidR="001B6CCD">
        <w:rPr>
          <w:rFonts w:ascii="Arial" w:hAnsi="Arial" w:cs="Arial" w:eastAsiaTheme="majorEastAsia"/>
          <w:color w:val="000000" w:themeColor="text1"/>
          <w:sz w:val="22"/>
          <w:szCs w:val="22"/>
        </w:rPr>
        <w:t xml:space="preserve"> Similarly, we found that </w:t>
      </w:r>
      <w:r w:rsidRPr="00DD3983" w:rsidR="00B70F92">
        <w:rPr>
          <w:rFonts w:ascii="Arial" w:hAnsi="Arial" w:cs="Arial" w:eastAsiaTheme="majorEastAsia"/>
          <w:color w:val="000000" w:themeColor="text1"/>
          <w:sz w:val="22"/>
          <w:szCs w:val="22"/>
        </w:rPr>
        <w:t>ethnic older adults</w:t>
      </w:r>
      <w:r w:rsidRPr="00DD3983" w:rsidR="00905B70">
        <w:rPr>
          <w:rFonts w:ascii="Arial" w:hAnsi="Arial" w:cs="Arial" w:eastAsiaTheme="majorEastAsia"/>
          <w:color w:val="000000" w:themeColor="text1"/>
          <w:sz w:val="22"/>
          <w:szCs w:val="22"/>
        </w:rPr>
        <w:t xml:space="preserve"> </w:t>
      </w:r>
      <w:r w:rsidRPr="00DD3983" w:rsidR="001B6CCD">
        <w:rPr>
          <w:rFonts w:ascii="Arial" w:hAnsi="Arial" w:cs="Arial" w:eastAsiaTheme="majorEastAsia"/>
          <w:color w:val="000000" w:themeColor="text1"/>
          <w:sz w:val="22"/>
          <w:szCs w:val="22"/>
        </w:rPr>
        <w:t>often present with more advanced stages of dementia due to cultural attitudes that prioritize family caregiving over seeking medical attention.</w:t>
      </w:r>
    </w:p>
    <w:p w:rsidRPr="00DD3983" w:rsidR="00C553EA" w:rsidP="006618CC" w:rsidRDefault="00557FD9" w14:paraId="5F765348" w14:textId="485A2927">
      <w:pPr>
        <w:pStyle w:val="paragraph"/>
        <w:spacing w:before="0" w:after="0"/>
        <w:jc w:val="both"/>
        <w:textAlignment w:val="baseline"/>
        <w:rPr>
          <w:rFonts w:ascii="Arial" w:hAnsi="Arial" w:cs="Arial"/>
          <w:color w:val="000000"/>
          <w:sz w:val="22"/>
          <w:szCs w:val="22"/>
        </w:rPr>
      </w:pPr>
      <w:r w:rsidRPr="00DD3983">
        <w:rPr>
          <w:rStyle w:val="normaltextrun"/>
          <w:rFonts w:ascii="Arial" w:hAnsi="Arial" w:cs="Arial" w:eastAsiaTheme="majorEastAsia"/>
          <w:color w:val="000000" w:themeColor="text1"/>
          <w:sz w:val="22"/>
          <w:szCs w:val="22"/>
        </w:rPr>
        <w:t>The consequence of limited generalizability extends beyond diagnostic accuracy; it directly influences health outcomes. An accurate and timely AD diagnosis serves as the crucial gateway for early intervention, eligibility for clinical trials, and effective long-term care planning</w:t>
      </w:r>
      <w:r w:rsidR="007F4E0A">
        <w:rPr>
          <w:rStyle w:val="normaltextrun"/>
          <w:rFonts w:ascii="Arial" w:hAnsi="Arial" w:cs="Arial" w:eastAsiaTheme="majorEastAsia"/>
          <w:color w:val="000000" w:themeColor="text1"/>
          <w:sz w:val="22"/>
          <w:szCs w:val="22"/>
        </w:rPr>
        <w:t>.</w:t>
      </w:r>
      <w:r w:rsidRPr="00DD3983">
        <w:rPr>
          <w:rStyle w:val="normaltextrun"/>
          <w:rFonts w:ascii="Arial" w:hAnsi="Arial" w:cs="Arial" w:eastAsiaTheme="majorEastAsia"/>
          <w:color w:val="000000" w:themeColor="text1"/>
          <w:sz w:val="22"/>
          <w:szCs w:val="22"/>
        </w:rPr>
        <w:fldChar w:fldCharType="begin"/>
      </w:r>
      <w:r w:rsidR="00025355">
        <w:rPr>
          <w:rStyle w:val="normaltextrun"/>
          <w:rFonts w:ascii="Arial" w:hAnsi="Arial" w:cs="Arial" w:eastAsiaTheme="majorEastAsia"/>
          <w:color w:val="000000" w:themeColor="text1"/>
          <w:sz w:val="22"/>
          <w:szCs w:val="22"/>
        </w:rPr>
        <w:instrText xml:space="preserve"> ADDIN ZOTERO_ITEM CSL_CITATION {"citationID":"Dl2tV5gB","properties":{"formattedCitation":"\\super 17\\nosupersub{}","plainCitation":"17","noteIndex":0},"citationItems":[{"id":1965,"uris":["http://zotero.org/users/10927406/items/ET3QIZFM"],"itemData":{"id":1965,"type":"article-journal","abstract":"This article describes the public health impact of Alzheimer's disease (AD), including prevalence and incidence, mortality and morbidity, use and costs of care and the ramifications of AD for family caregivers, the dementia workforce and society. The Special Report discusses the larger health care system for older adults with cognitive issues, focusing on the role of caregivers and non</w:instrText>
      </w:r>
      <w:r w:rsidR="00025355">
        <w:rPr>
          <w:rStyle w:val="normaltextrun"/>
          <w:rFonts w:ascii="Cambria Math" w:hAnsi="Cambria Math" w:cs="Cambria Math" w:eastAsiaTheme="majorEastAsia"/>
          <w:color w:val="000000" w:themeColor="text1"/>
          <w:sz w:val="22"/>
          <w:szCs w:val="22"/>
        </w:rPr>
        <w:instrText>‐</w:instrText>
      </w:r>
      <w:r w:rsidR="00025355">
        <w:rPr>
          <w:rStyle w:val="normaltextrun"/>
          <w:rFonts w:ascii="Arial" w:hAnsi="Arial" w:cs="Arial" w:eastAsiaTheme="majorEastAsia"/>
          <w:color w:val="000000" w:themeColor="text1"/>
          <w:sz w:val="22"/>
          <w:szCs w:val="22"/>
        </w:rPr>
        <w:instrText>physician health care professionals. An estimated 6.9 million Americans age 65 and older are living with Alzheimer's dementia today. This number could grow to 13.8 million by 2060, barring the development of medical breakthroughs to prevent or cure AD. Official AD death certificates recorded 119,399 deaths from AD in 2021. In 2020 and 2021, when COVID</w:instrText>
      </w:r>
      <w:r w:rsidR="00025355">
        <w:rPr>
          <w:rStyle w:val="normaltextrun"/>
          <w:rFonts w:ascii="Cambria Math" w:hAnsi="Cambria Math" w:cs="Cambria Math" w:eastAsiaTheme="majorEastAsia"/>
          <w:color w:val="000000" w:themeColor="text1"/>
          <w:sz w:val="22"/>
          <w:szCs w:val="22"/>
        </w:rPr>
        <w:instrText>‐</w:instrText>
      </w:r>
      <w:r w:rsidR="00025355">
        <w:rPr>
          <w:rStyle w:val="normaltextrun"/>
          <w:rFonts w:ascii="Arial" w:hAnsi="Arial" w:cs="Arial" w:eastAsiaTheme="majorEastAsia"/>
          <w:color w:val="000000" w:themeColor="text1"/>
          <w:sz w:val="22"/>
          <w:szCs w:val="22"/>
        </w:rPr>
        <w:instrText>19 entered the ranks of the top ten causes of death, Alzheimer's was the seventh</w:instrText>
      </w:r>
      <w:r w:rsidR="00025355">
        <w:rPr>
          <w:rStyle w:val="normaltextrun"/>
          <w:rFonts w:ascii="Cambria Math" w:hAnsi="Cambria Math" w:cs="Cambria Math" w:eastAsiaTheme="majorEastAsia"/>
          <w:color w:val="000000" w:themeColor="text1"/>
          <w:sz w:val="22"/>
          <w:szCs w:val="22"/>
        </w:rPr>
        <w:instrText>‐</w:instrText>
      </w:r>
      <w:r w:rsidR="00025355">
        <w:rPr>
          <w:rStyle w:val="normaltextrun"/>
          <w:rFonts w:ascii="Arial" w:hAnsi="Arial" w:cs="Arial" w:eastAsiaTheme="majorEastAsia"/>
          <w:color w:val="000000" w:themeColor="text1"/>
          <w:sz w:val="22"/>
          <w:szCs w:val="22"/>
        </w:rPr>
        <w:instrText>leading cause of death in the United States. Official counts for more recent years are still being compiled. Alzheimer's remains the fifth</w:instrText>
      </w:r>
      <w:r w:rsidR="00025355">
        <w:rPr>
          <w:rStyle w:val="normaltextrun"/>
          <w:rFonts w:ascii="Cambria Math" w:hAnsi="Cambria Math" w:cs="Cambria Math" w:eastAsiaTheme="majorEastAsia"/>
          <w:color w:val="000000" w:themeColor="text1"/>
          <w:sz w:val="22"/>
          <w:szCs w:val="22"/>
        </w:rPr>
        <w:instrText>‐</w:instrText>
      </w:r>
      <w:r w:rsidR="00025355">
        <w:rPr>
          <w:rStyle w:val="normaltextrun"/>
          <w:rFonts w:ascii="Arial" w:hAnsi="Arial" w:cs="Arial" w:eastAsiaTheme="majorEastAsia"/>
          <w:color w:val="000000" w:themeColor="text1"/>
          <w:sz w:val="22"/>
          <w:szCs w:val="22"/>
        </w:rPr>
        <w:instrText>leading cause of death among Americans age 65 and older. Between 2000 and 2021, deaths from stroke, heart disease and HIV decreased, whereas reported deaths from AD increased more than 140%. More than 11 million family members and other unpaid caregivers provided an estimated 18.4 billion hours of care to people with Alzheimer's or other dementias in 2023. These figures reflect a decline in the number of caregivers compared with a decade earlier, as well as an increase in the amount of care provided by each remaining caregiver. Unpaid dementia caregiving was valued at $346.6 billion in 2023. Its costs, however, extend to unpaid caregivers’ increased risk for emotional distress and negative mental and physical health outcomes. Members of the paid health care and broader community</w:instrText>
      </w:r>
      <w:r w:rsidR="00025355">
        <w:rPr>
          <w:rStyle w:val="normaltextrun"/>
          <w:rFonts w:ascii="Cambria Math" w:hAnsi="Cambria Math" w:cs="Cambria Math" w:eastAsiaTheme="majorEastAsia"/>
          <w:color w:val="000000" w:themeColor="text1"/>
          <w:sz w:val="22"/>
          <w:szCs w:val="22"/>
        </w:rPr>
        <w:instrText>‐</w:instrText>
      </w:r>
      <w:r w:rsidR="00025355">
        <w:rPr>
          <w:rStyle w:val="normaltextrun"/>
          <w:rFonts w:ascii="Arial" w:hAnsi="Arial" w:cs="Arial" w:eastAsiaTheme="majorEastAsia"/>
          <w:color w:val="000000" w:themeColor="text1"/>
          <w:sz w:val="22"/>
          <w:szCs w:val="22"/>
        </w:rPr>
        <w:instrText>based workforce are involved in diagnosing, treating and caring for people with dementia. However, the United States faces growing shortages across different segments of the dementia care workforce due to a combination of factors, including the absolute increase in the number of people living with dementia. Therefore, targeted programs and care delivery models will be needed to attract, better train and effectively deploy health care and community</w:instrText>
      </w:r>
      <w:r w:rsidR="00025355">
        <w:rPr>
          <w:rStyle w:val="normaltextrun"/>
          <w:rFonts w:ascii="Cambria Math" w:hAnsi="Cambria Math" w:cs="Cambria Math" w:eastAsiaTheme="majorEastAsia"/>
          <w:color w:val="000000" w:themeColor="text1"/>
          <w:sz w:val="22"/>
          <w:szCs w:val="22"/>
        </w:rPr>
        <w:instrText>‐</w:instrText>
      </w:r>
      <w:r w:rsidR="00025355">
        <w:rPr>
          <w:rStyle w:val="normaltextrun"/>
          <w:rFonts w:ascii="Arial" w:hAnsi="Arial" w:cs="Arial" w:eastAsiaTheme="majorEastAsia"/>
          <w:color w:val="000000" w:themeColor="text1"/>
          <w:sz w:val="22"/>
          <w:szCs w:val="22"/>
        </w:rPr>
        <w:instrText>based workers to provide dementia care. Average per</w:instrText>
      </w:r>
      <w:r w:rsidR="00025355">
        <w:rPr>
          <w:rStyle w:val="normaltextrun"/>
          <w:rFonts w:ascii="Cambria Math" w:hAnsi="Cambria Math" w:cs="Cambria Math" w:eastAsiaTheme="majorEastAsia"/>
          <w:color w:val="000000" w:themeColor="text1"/>
          <w:sz w:val="22"/>
          <w:szCs w:val="22"/>
        </w:rPr>
        <w:instrText>‐</w:instrText>
      </w:r>
      <w:r w:rsidR="00025355">
        <w:rPr>
          <w:rStyle w:val="normaltextrun"/>
          <w:rFonts w:ascii="Arial" w:hAnsi="Arial" w:cs="Arial" w:eastAsiaTheme="majorEastAsia"/>
          <w:color w:val="000000" w:themeColor="text1"/>
          <w:sz w:val="22"/>
          <w:szCs w:val="22"/>
        </w:rPr>
        <w:instrText>person Medicare payments for services to beneficiaries age 65 and older with AD or other dementias are almost three times as great as payments for beneficiaries without these conditions, and Medicaid payments are more than 22 times as great. Total payments in 2024 for health care, long</w:instrText>
      </w:r>
      <w:r w:rsidR="00025355">
        <w:rPr>
          <w:rStyle w:val="normaltextrun"/>
          <w:rFonts w:ascii="Cambria Math" w:hAnsi="Cambria Math" w:cs="Cambria Math" w:eastAsiaTheme="majorEastAsia"/>
          <w:color w:val="000000" w:themeColor="text1"/>
          <w:sz w:val="22"/>
          <w:szCs w:val="22"/>
        </w:rPr>
        <w:instrText>‐</w:instrText>
      </w:r>
      <w:r w:rsidR="00025355">
        <w:rPr>
          <w:rStyle w:val="normaltextrun"/>
          <w:rFonts w:ascii="Arial" w:hAnsi="Arial" w:cs="Arial" w:eastAsiaTheme="majorEastAsia"/>
          <w:color w:val="000000" w:themeColor="text1"/>
          <w:sz w:val="22"/>
          <w:szCs w:val="22"/>
        </w:rPr>
        <w:instrText>term care and hospice services for people age 65 and older with dementia are estimated to be $360 billion. The Special Report investigates how caregivers of older adults with cognitive issues interact with the health care system and examines the role non</w:instrText>
      </w:r>
      <w:r w:rsidR="00025355">
        <w:rPr>
          <w:rStyle w:val="normaltextrun"/>
          <w:rFonts w:ascii="Cambria Math" w:hAnsi="Cambria Math" w:cs="Cambria Math" w:eastAsiaTheme="majorEastAsia"/>
          <w:color w:val="000000" w:themeColor="text1"/>
          <w:sz w:val="22"/>
          <w:szCs w:val="22"/>
        </w:rPr>
        <w:instrText>‐</w:instrText>
      </w:r>
      <w:r w:rsidR="00025355">
        <w:rPr>
          <w:rStyle w:val="normaltextrun"/>
          <w:rFonts w:ascii="Arial" w:hAnsi="Arial" w:cs="Arial" w:eastAsiaTheme="majorEastAsia"/>
          <w:color w:val="000000" w:themeColor="text1"/>
          <w:sz w:val="22"/>
          <w:szCs w:val="22"/>
        </w:rPr>
        <w:instrText>physician health care professionals play in facilitating clinical care and access to community</w:instrText>
      </w:r>
      <w:r w:rsidR="00025355">
        <w:rPr>
          <w:rStyle w:val="normaltextrun"/>
          <w:rFonts w:ascii="Cambria Math" w:hAnsi="Cambria Math" w:cs="Cambria Math" w:eastAsiaTheme="majorEastAsia"/>
          <w:color w:val="000000" w:themeColor="text1"/>
          <w:sz w:val="22"/>
          <w:szCs w:val="22"/>
        </w:rPr>
        <w:instrText>‐</w:instrText>
      </w:r>
      <w:r w:rsidR="00025355">
        <w:rPr>
          <w:rStyle w:val="normaltextrun"/>
          <w:rFonts w:ascii="Arial" w:hAnsi="Arial" w:cs="Arial" w:eastAsiaTheme="majorEastAsia"/>
          <w:color w:val="000000" w:themeColor="text1"/>
          <w:sz w:val="22"/>
          <w:szCs w:val="22"/>
        </w:rPr>
        <w:instrText xml:space="preserve">based services and supports. It includes surveys of caregivers and health care workers, focusing on their experiences, challenges, awareness and perceptions of dementia care navigation.","container-title":"Alzheimer's &amp; Dementia","DOI":"10.1002/alz.13809","ISSN":"1552-5260","issue":"5","journalAbbreviation":"Alzheimers Dement","note":"PMID: 38689398\nPMCID: PMC11095490","page":"3708-3821","source":"PubMed Central","title":"2024 Alzheimer's disease facts and figures","volume":"20","issued":{"date-parts":[["2024",4,30]]}}}],"schema":"https://github.com/citation-style-language/schema/raw/master/csl-citation.json"} </w:instrText>
      </w:r>
      <w:r w:rsidRPr="00DD3983">
        <w:rPr>
          <w:rStyle w:val="normaltextrun"/>
          <w:rFonts w:ascii="Arial" w:hAnsi="Arial" w:cs="Arial" w:eastAsiaTheme="majorEastAsia"/>
          <w:color w:val="000000" w:themeColor="text1"/>
          <w:sz w:val="22"/>
          <w:szCs w:val="22"/>
        </w:rPr>
        <w:fldChar w:fldCharType="separate"/>
      </w:r>
      <w:r w:rsidRPr="00025355" w:rsidR="00025355">
        <w:rPr>
          <w:rFonts w:ascii="Arial" w:hAnsi="Arial" w:cs="Arial"/>
          <w:sz w:val="22"/>
          <w:vertAlign w:val="superscript"/>
        </w:rPr>
        <w:t>17</w:t>
      </w:r>
      <w:r w:rsidRPr="00DD3983">
        <w:rPr>
          <w:rStyle w:val="normaltextrun"/>
          <w:rFonts w:ascii="Arial" w:hAnsi="Arial" w:cs="Arial" w:eastAsiaTheme="majorEastAsia"/>
          <w:color w:val="000000" w:themeColor="text1"/>
          <w:sz w:val="22"/>
          <w:szCs w:val="22"/>
        </w:rPr>
        <w:fldChar w:fldCharType="end"/>
      </w:r>
      <w:r w:rsidRPr="00DD3983">
        <w:rPr>
          <w:rStyle w:val="normaltextrun"/>
          <w:rFonts w:ascii="Arial" w:hAnsi="Arial" w:cs="Arial" w:eastAsiaTheme="majorEastAsia"/>
          <w:color w:val="000000" w:themeColor="text1"/>
          <w:sz w:val="22"/>
          <w:szCs w:val="22"/>
        </w:rPr>
        <w:t xml:space="preserve"> When diagnostic tools fail to account for racial, ethnic, socioeconomic, and cultural differences, it results in the delayed or incorrect identification of AD in underrepresented groups</w:t>
      </w:r>
      <w:r w:rsidR="001E793F">
        <w:rPr>
          <w:rStyle w:val="normaltextrun"/>
          <w:rFonts w:ascii="Arial" w:hAnsi="Arial" w:cs="Arial" w:eastAsiaTheme="majorEastAsia"/>
          <w:color w:val="000000" w:themeColor="text1"/>
          <w:sz w:val="22"/>
          <w:szCs w:val="22"/>
        </w:rPr>
        <w:t>.</w:t>
      </w:r>
      <w:r w:rsidRPr="00DD3983">
        <w:rPr>
          <w:rStyle w:val="normaltextrun"/>
          <w:rFonts w:ascii="Arial" w:hAnsi="Arial" w:cs="Arial" w:eastAsiaTheme="majorEastAsia"/>
          <w:color w:val="000000" w:themeColor="text1"/>
          <w:sz w:val="22"/>
          <w:szCs w:val="22"/>
        </w:rPr>
        <w:fldChar w:fldCharType="begin"/>
      </w:r>
      <w:r w:rsidR="00025355">
        <w:rPr>
          <w:rStyle w:val="normaltextrun"/>
          <w:rFonts w:ascii="Arial" w:hAnsi="Arial" w:cs="Arial" w:eastAsiaTheme="majorEastAsia"/>
          <w:color w:val="000000" w:themeColor="text1"/>
          <w:sz w:val="22"/>
          <w:szCs w:val="22"/>
        </w:rPr>
        <w:instrText xml:space="preserve"> ADDIN ZOTERO_ITEM CSL_CITATION {"citationID":"zSFMhvYe","properties":{"formattedCitation":"\\super 81\\nosupersub{}","plainCitation":"81","noteIndex":0},"citationItems":[{"id":"7XVybpWP/ViDt7Uwx","uris":["http://zotero.org/users/14808070/items/FUSYDAKY"],"itemData":{"id":1084,"type":"article-journal","abstract":"The National Institute on Aging and the Alzheimer's Association charged a workgroup with the task of revising the 1984 criteria for Alzheimer's disease (AD) dementia. The workgroup sought to ensure that the revised criteria would be flexible enough to be used by both general healthcare providers without access to neuropsychological testing, advanced imaging, and cerebrospinal fluid measures, and specialized investigators involved in research or in clinical trial studies who would have these tools available. We present criteria for all-cause dementia and for AD dementia. We retained the general framework of probable AD dementia from the 1984 criteria. On the basis of the past 27 years of experience, we made several changes in the clinical criteria for the diagnosis. We also retained the term possible AD dementia, but redefined it in a manner more focused than before. Biomarker evidence was also integrated into the diagnostic formulations for probable and possible AD dementia for use in research settings. The core clinical criteria for AD dementia will continue to be the cornerstone of the diagnosis in clinical practice, but biomarker evidence is expected to enhance the pathophysiological specificity of the diagnosis of AD dementia. Much work lies ahead for validating the biomarker diagnosis of AD dementia.","container-title":"Alzheimer's &amp; Dementia: The Journal of the Alzheimer's Association","DOI":"10.1016/j.jalz.2011.03.005","ISSN":"1552-5279","issue":"3","journalAbbreviation":"Alzheimers Dement","language":"eng","note":"PMID: 21514250\nPMCID: PMC3312024","page":"263-269","source":"PubMed","title":"The diagnosis of dementia due to Alzheimer's disease: recommendations from the National Institute on Aging-Alzheimer's Association workgroups on diagnostic guidelines for Alzheimer's disease","title-short":"The diagnosis of dementia due to Alzheimer's disease","volume":"7","author":[{"family":"McKhann","given":"Guy M."},{"family":"Knopman","given":"David S."},{"family":"Chertkow","given":"Howard"},{"family":"Hyman","given":"Bradley T."},{"family":"Jack","given":"Clifford R."},{"family":"Kawas","given":"Claudia H."},{"family":"Klunk","given":"William E."},{"family":"Koroshetz","given":"Walter J."},{"family":"Manly","given":"Jennifer J."},{"family":"Mayeux","given":"Richard"},{"family":"Mohs","given":"Richard C."},{"family":"Morris","given":"John C."},{"family":"Rossor","given":"Martin N."},{"family":"Scheltens","given":"Philip"},{"family":"Carrillo","given":"Maria C."},{"family":"Thies","given":"Bill"},{"family":"Weintraub","given":"Sandra"},{"family":"Phelps","given":"Creighton H."}],"issued":{"date-parts":[["2011",5]]}}}],"schema":"https://github.com/citation-style-language/schema/raw/master/csl-citation.json"} </w:instrText>
      </w:r>
      <w:r w:rsidRPr="00DD3983">
        <w:rPr>
          <w:rStyle w:val="normaltextrun"/>
          <w:rFonts w:ascii="Arial" w:hAnsi="Arial" w:cs="Arial" w:eastAsiaTheme="majorEastAsia"/>
          <w:color w:val="000000" w:themeColor="text1"/>
          <w:sz w:val="22"/>
          <w:szCs w:val="22"/>
        </w:rPr>
        <w:fldChar w:fldCharType="separate"/>
      </w:r>
      <w:r w:rsidRPr="00025355" w:rsidR="00025355">
        <w:rPr>
          <w:rFonts w:ascii="Arial" w:hAnsi="Arial" w:cs="Arial"/>
          <w:sz w:val="22"/>
          <w:vertAlign w:val="superscript"/>
        </w:rPr>
        <w:t>81</w:t>
      </w:r>
      <w:r w:rsidRPr="00DD3983">
        <w:rPr>
          <w:rStyle w:val="normaltextrun"/>
          <w:rFonts w:ascii="Arial" w:hAnsi="Arial" w:cs="Arial" w:eastAsiaTheme="majorEastAsia"/>
          <w:color w:val="000000" w:themeColor="text1"/>
          <w:sz w:val="22"/>
          <w:szCs w:val="22"/>
        </w:rPr>
        <w:fldChar w:fldCharType="end"/>
      </w:r>
      <w:r w:rsidRPr="00DD3983">
        <w:rPr>
          <w:rStyle w:val="normaltextrun"/>
          <w:rFonts w:ascii="Arial" w:hAnsi="Arial" w:cs="Arial" w:eastAsiaTheme="majorEastAsia"/>
          <w:color w:val="000000" w:themeColor="text1"/>
          <w:sz w:val="22"/>
          <w:szCs w:val="22"/>
        </w:rPr>
        <w:t xml:space="preserve"> Consequently, these populations face worse disease trajectories, reduced access to emerging treatments, and lower participation in clinical trials</w:t>
      </w:r>
      <w:r w:rsidR="007F4E0A">
        <w:rPr>
          <w:rStyle w:val="normaltextrun"/>
          <w:rFonts w:ascii="Arial" w:hAnsi="Arial" w:cs="Arial" w:eastAsiaTheme="majorEastAsia"/>
          <w:color w:val="000000" w:themeColor="text1"/>
          <w:sz w:val="22"/>
          <w:szCs w:val="22"/>
        </w:rPr>
        <w:t>.</w:t>
      </w:r>
      <w:r w:rsidRPr="00DD3983">
        <w:rPr>
          <w:rStyle w:val="normaltextrun"/>
          <w:rFonts w:ascii="Arial" w:hAnsi="Arial" w:cs="Arial" w:eastAsiaTheme="majorEastAsia"/>
          <w:color w:val="000000" w:themeColor="text1"/>
          <w:sz w:val="22"/>
          <w:szCs w:val="22"/>
        </w:rPr>
        <w:fldChar w:fldCharType="begin"/>
      </w:r>
      <w:r w:rsidR="00025355">
        <w:rPr>
          <w:rStyle w:val="normaltextrun"/>
          <w:rFonts w:ascii="Arial" w:hAnsi="Arial" w:cs="Arial" w:eastAsiaTheme="majorEastAsia"/>
          <w:color w:val="000000" w:themeColor="text1"/>
          <w:sz w:val="22"/>
          <w:szCs w:val="22"/>
        </w:rPr>
        <w:instrText xml:space="preserve"> ADDIN ZOTERO_ITEM CSL_CITATION {"citationID":"kzfhhwkk","properties":{"formattedCitation":"\\super 80\\nosupersub{}","plainCitation":"80","noteIndex":0},"citationItems":[{"id":"7XVybpWP/3EA0Z0Lw","uris":["http://zotero.org/users/14808070/items/BXZDFWAJ"],"itemData":{"id":1081,"type":"article-journal","abstract":"The Alzheimer's Disease Neuroimaging Initiative (ADNI) aims to improve Alzheimer's disease (AD) clinical trials. Since 2006, ADNI has shared clinical, neuroimaging, and cognitive data, and biofluid samples. We used conventional search methods to identify 1459 publications from 2021 to 2022 using ADNI data/samples and reviewed 291 impactful studies. This review details how ADNI studies improved disease progression understanding and clinical trial efficiency. Advances in subject selection, detection of treatment effects, harmonization, and modeling improved clinical trials and plasma biomarkers like phosphorylated tau showed promise for clinical use. Biomarkers of amyloid beta, tau, neurodegeneration, inflammation, and others were prognostic with individualized prediction algorithms available online. Studies supported the amyloid cascade, emphasized the importance of neuroinflammation, and detailed widespread heterogeneity in disease, linked to genetic and vascular risk, co-pathologies, sex, and resilience. Biological subtypes were consistently observed. Generalizability of ADNI results is limited by lack of cohort diversity, an issue ADNI-4 aims to address by enrolling a diverse cohort.","container-title":"Alzheimer's &amp; Dementia","DOI":"10.1002/alz.13449","ISSN":"1552-5279","issue":"1","language":"en","license":"© 2023 The Authors. Alzheimer's &amp; Dementia published by Wiley Periodicals LLC on behalf of Alzheimer's Association.","note":"_eprint: https://onlinelibrary.wiley.com/doi/pdf/10.1002/alz.13449","page":"652-694","source":"Wiley Online Library","title":"The Alzheimer's Disease Neuroimaging Initiative in the era of Alzheimer's disease treatment: A review of ADNI studies from 2021 to 2022","title-short":"The Alzheimer's Disease Neuroimaging Initiative in the era of Alzheimer's disease treatment","volume":"20","author":[{"family":"Veitch","given":"Dallas P."},{"family":"Weiner","given":"Michael W."},{"family":"Miller","given":"Melanie"},{"family":"Aisen","given":"Paul S."},{"family":"Ashford","given":"Miriam A."},{"family":"Beckett","given":"Laurel A."},{"family":"Green","given":"Robert C."},{"family":"Harvey","given":"Danielle"},{"family":"Jack Jr.","given":"Clifford R."},{"family":"Jagust","given":"William"},{"family":"Landau","given":"Susan M."},{"family":"Morris","given":"John C."},{"family":"Nho","given":"Kwangsik T."},{"family":"Nosheny","given":"Rachel"},{"family":"Okonkwo","given":"Ozioma"},{"family":"Perrin","given":"Richard J."},{"family":"Petersen","given":"Ronald C."},{"family":"Rivera Mindt","given":"Monica"},{"family":"Saykin","given":"Andrew"},{"family":"Shaw","given":"Leslie M."},{"family":"Toga","given":"Arthur W."},{"family":"Tosun","given":"Duygu"},{"family":"Initiative","given":"for the Alzheimer's Disease Neuroimaging"}],"issued":{"date-parts":[["2024"]]}}}],"schema":"https://github.com/citation-style-language/schema/raw/master/csl-citation.json"} </w:instrText>
      </w:r>
      <w:r w:rsidRPr="00DD3983">
        <w:rPr>
          <w:rStyle w:val="normaltextrun"/>
          <w:rFonts w:ascii="Arial" w:hAnsi="Arial" w:cs="Arial" w:eastAsiaTheme="majorEastAsia"/>
          <w:color w:val="000000" w:themeColor="text1"/>
          <w:sz w:val="22"/>
          <w:szCs w:val="22"/>
        </w:rPr>
        <w:fldChar w:fldCharType="separate"/>
      </w:r>
      <w:r w:rsidRPr="00025355" w:rsidR="00025355">
        <w:rPr>
          <w:rFonts w:ascii="Arial" w:hAnsi="Arial" w:cs="Arial"/>
          <w:sz w:val="22"/>
          <w:vertAlign w:val="superscript"/>
        </w:rPr>
        <w:t>80</w:t>
      </w:r>
      <w:r w:rsidRPr="00DD3983">
        <w:rPr>
          <w:rStyle w:val="normaltextrun"/>
          <w:rFonts w:ascii="Arial" w:hAnsi="Arial" w:cs="Arial" w:eastAsiaTheme="majorEastAsia"/>
          <w:color w:val="000000" w:themeColor="text1"/>
          <w:sz w:val="22"/>
          <w:szCs w:val="22"/>
        </w:rPr>
        <w:fldChar w:fldCharType="end"/>
      </w:r>
      <w:r w:rsidRPr="00DD3983">
        <w:rPr>
          <w:rStyle w:val="eop"/>
          <w:rFonts w:ascii="Arial" w:hAnsi="Arial" w:cs="Arial" w:eastAsiaTheme="majorEastAsia"/>
          <w:color w:val="000000" w:themeColor="text1"/>
          <w:sz w:val="22"/>
          <w:szCs w:val="22"/>
        </w:rPr>
        <w:t xml:space="preserve"> </w:t>
      </w:r>
      <w:r w:rsidRPr="00DD3983" w:rsidR="001B6CCD">
        <w:rPr>
          <w:rFonts w:ascii="Arial" w:hAnsi="Arial" w:cs="Arial"/>
          <w:color w:val="000000"/>
          <w:sz w:val="22"/>
          <w:szCs w:val="22"/>
        </w:rPr>
        <w:t>Addressing generalizability is therefore crucial, not only for scientific rigor but as a fundamental step toward healthcare equity. Ensuring diverse representation in AD research and validating diagnostic tools across broader populations will lead to improved outcomes, equitable treatment access, and more sustainable healthcare costs, ultimately moving toward personalized, accurate, and equitable AD care for all populations</w:t>
      </w:r>
      <w:r w:rsidR="007F4E0A">
        <w:rPr>
          <w:rFonts w:ascii="Arial" w:hAnsi="Arial" w:cs="Arial"/>
          <w:color w:val="000000"/>
          <w:sz w:val="22"/>
          <w:szCs w:val="22"/>
        </w:rPr>
        <w:t>.</w:t>
      </w:r>
      <w:r w:rsidRPr="00DD3983" w:rsidR="001B6CCD">
        <w:rPr>
          <w:rFonts w:ascii="Arial" w:hAnsi="Arial" w:cs="Arial"/>
          <w:color w:val="000000"/>
          <w:sz w:val="22"/>
          <w:szCs w:val="22"/>
        </w:rPr>
        <w:fldChar w:fldCharType="begin"/>
      </w:r>
      <w:r w:rsidR="00025355">
        <w:rPr>
          <w:rFonts w:ascii="Arial" w:hAnsi="Arial" w:cs="Arial"/>
          <w:color w:val="000000"/>
          <w:sz w:val="22"/>
          <w:szCs w:val="22"/>
        </w:rPr>
        <w:instrText xml:space="preserve"> ADDIN ZOTERO_ITEM CSL_CITATION {"citationID":"GddATnad","properties":{"formattedCitation":"\\super 82\\nosupersub{}","plainCitation":"82","noteIndex":0},"citationItems":[{"id":"7XVybpWP/V8wHGQDd","uris":["http://zotero.org/users/14808070/items/RUIMLWBR"],"itemData":{"id":1078,"type":"article-journal","abstract":"Alzheimer’s Disease is the most common cause of dementia. Accurate diagnosis and prognosis of this disease are essential to design an appropriate treatment plan, increasing the life expectancy of the patient. Intense research has been conducted on the use of machine learning to identify Alzheimer’s Disease from neuroimaging data, such as structural magnetic resonance imaging. In recent years, advances of deep learning in computer vision suggest a new research direction for this problem. Current deep learning-based approaches in this field, however, have a number of drawbacks, including the interpretability of model decisions, a lack of generalizability information and a lower performance compared to traditional machine learning techniques. In this paper, we design a two-stage framework to overcome these limitations. In the first stage, an ensemble of 125 U-Nets is used to grade the input image, producing a 3D map that reflects the disease severity at voxel-level. This map can help to localize abnormal brain areas caused by the disease. In the second stage, we model a graph per individual using the generated grading map and other information about the subject. We propose to use a graph convolutional neural network classifier for the final classification. As a result, our framework demonstrates comparative performance to the state-of-the-art methods in different datasets for both diagnosis and prognosis. We also demonstrate that the use of a large ensemble of U-Nets offers a better generalization capacity for our framework.","container-title":"Computerized Medical Imaging and Graphics","DOI":"10.1016/j.compmedimag.2022.102171","ISSN":"0895-6111","journalAbbreviation":"Computerized Medical Imaging and Graphics","page":"102171","source":"ScienceDirect","title":"Towards better interpretable and generalizable AD detection using collective artificial intelligence","volume":"104","author":[{"family":"Nguyen","given":"Huy-Dung"},{"family":"Clément","given":"Michaël"},{"family":"Mansencal","given":"Boris"},{"family":"Coupé","given":"Pierrick"}],"issued":{"date-parts":[["2023",3,1]]}}}],"schema":"https://github.com/citation-style-language/schema/raw/master/csl-citation.json"} </w:instrText>
      </w:r>
      <w:r w:rsidRPr="00DD3983" w:rsidR="001B6CCD">
        <w:rPr>
          <w:rFonts w:ascii="Arial" w:hAnsi="Arial" w:cs="Arial"/>
          <w:color w:val="000000"/>
          <w:sz w:val="22"/>
          <w:szCs w:val="22"/>
        </w:rPr>
        <w:fldChar w:fldCharType="separate"/>
      </w:r>
      <w:r w:rsidRPr="00025355" w:rsidR="00025355">
        <w:rPr>
          <w:rFonts w:ascii="Arial" w:hAnsi="Arial" w:cs="Arial"/>
          <w:sz w:val="22"/>
          <w:vertAlign w:val="superscript"/>
        </w:rPr>
        <w:t>82</w:t>
      </w:r>
      <w:r w:rsidRPr="00DD3983" w:rsidR="001B6CCD">
        <w:rPr>
          <w:rFonts w:ascii="Arial" w:hAnsi="Arial" w:cs="Arial"/>
          <w:color w:val="000000"/>
          <w:sz w:val="22"/>
          <w:szCs w:val="22"/>
        </w:rPr>
        <w:fldChar w:fldCharType="end"/>
      </w:r>
    </w:p>
    <w:p w:rsidRPr="001A4EF5" w:rsidR="005F171E" w:rsidP="0053145B" w:rsidRDefault="005F171E" w14:paraId="74219494" w14:textId="36408F25">
      <w:pPr>
        <w:pStyle w:val="Heading2"/>
        <w:spacing w:before="0"/>
      </w:pPr>
      <w:r w:rsidRPr="001A4EF5">
        <w:t>Cost</w:t>
      </w:r>
    </w:p>
    <w:p w:rsidRPr="00DD3983" w:rsidR="00CE33E2" w:rsidP="0053145B" w:rsidRDefault="00CE33E2" w14:paraId="22CE8AD9" w14:textId="6A16E03E">
      <w:pPr>
        <w:spacing w:after="0" w:line="240" w:lineRule="auto"/>
        <w:jc w:val="both"/>
        <w:rPr>
          <w:rFonts w:ascii="Arial" w:hAnsi="Arial" w:cs="Arial"/>
          <w:sz w:val="22"/>
          <w:szCs w:val="22"/>
        </w:rPr>
      </w:pPr>
      <w:r w:rsidRPr="00DD3983">
        <w:rPr>
          <w:rFonts w:ascii="Arial" w:hAnsi="Arial" w:cs="Arial"/>
          <w:sz w:val="22"/>
          <w:szCs w:val="22"/>
        </w:rPr>
        <w:t>The financial burden associated with diagnosing AD presents a significant barrier to early detection and intervention</w:t>
      </w:r>
      <w:r w:rsidRPr="00DD3983" w:rsidR="00834ED0">
        <w:rPr>
          <w:rFonts w:ascii="Arial" w:hAnsi="Arial" w:cs="Arial"/>
          <w:sz w:val="22"/>
          <w:szCs w:val="22"/>
        </w:rPr>
        <w:t xml:space="preserve"> that also </w:t>
      </w:r>
      <w:r w:rsidRPr="00DD3983" w:rsidR="004A58FF">
        <w:rPr>
          <w:rFonts w:ascii="Arial" w:hAnsi="Arial" w:cs="Arial"/>
          <w:sz w:val="22"/>
          <w:szCs w:val="22"/>
        </w:rPr>
        <w:t>prevails in all disciplines</w:t>
      </w:r>
      <w:r w:rsidRPr="00DD3983">
        <w:rPr>
          <w:rFonts w:ascii="Arial" w:hAnsi="Arial" w:cs="Arial"/>
          <w:sz w:val="22"/>
          <w:szCs w:val="22"/>
        </w:rPr>
        <w:t>. Cost-related limitations prevent many individuals from accessing necessary medical services, delaying diagnosis until symptoms become severe</w:t>
      </w:r>
      <w:r w:rsidR="001E793F">
        <w:rPr>
          <w:rFonts w:ascii="Arial" w:hAnsi="Arial" w:cs="Arial"/>
          <w:sz w:val="22"/>
          <w:szCs w:val="22"/>
        </w:rPr>
        <w:t>.</w:t>
      </w:r>
      <w:r w:rsidRPr="00DD3983" w:rsidR="00B135D9">
        <w:rPr>
          <w:rFonts w:ascii="Arial" w:hAnsi="Arial" w:cs="Arial"/>
          <w:sz w:val="22"/>
          <w:szCs w:val="22"/>
        </w:rPr>
        <w:fldChar w:fldCharType="begin"/>
      </w:r>
      <w:r w:rsidR="00025355">
        <w:rPr>
          <w:rFonts w:ascii="Arial" w:hAnsi="Arial" w:cs="Arial"/>
          <w:sz w:val="22"/>
          <w:szCs w:val="22"/>
        </w:rPr>
        <w:instrText xml:space="preserve"> ADDIN ZOTERO_ITEM CSL_CITATION {"citationID":"7QPZTljj","properties":{"formattedCitation":"\\super 83\\nosupersub{}","plainCitation":"83","noteIndex":0},"citationItems":[{"id":"7XVybpWP/Y6Cc86HP","uris":["http://zotero.org/users/14808074/items/KLHKB6TF"],"itemData":{"id":942,"type":"article-journal","abstract":"The prevalence and consequences of financial barriers to health care among patients with multiple chronic diseases are poorly understood.","container-title":"Journal of General Internal Medicine","DOI":"10.1007/s11606-013-2635-6","ISSN":"1525-1497","issue":"1","journalAbbreviation":"J GEN INTERN MED","language":"en","page":"76-81","source":"Springer Link","title":"The Impact of Financial Barriers on Access to Care, Quality of Care and Vascular Morbidity Among Patients with Diabetes and Coronary Heart Disease","volume":"29","author":[{"family":"Parikh","given":"Puja B."},{"family":"Yang","given":"Jie"},{"family":"Leigh","given":"Steven"},{"family":"Dorjee","given":"Kunchok"},{"family":"Parikh","given":"Roopali"},{"family":"Sakellarios","given":"Nicholas"},{"family":"Meng","given":"Hongdao"},{"family":"Brown","given":"David L."}],"issued":{"date-parts":[["2014",1,1]]}}}],"schema":"https://github.com/citation-style-language/schema/raw/master/csl-citation.json"} </w:instrText>
      </w:r>
      <w:r w:rsidRPr="00DD3983" w:rsidR="00B135D9">
        <w:rPr>
          <w:rFonts w:ascii="Arial" w:hAnsi="Arial" w:cs="Arial"/>
          <w:sz w:val="22"/>
          <w:szCs w:val="22"/>
        </w:rPr>
        <w:fldChar w:fldCharType="separate"/>
      </w:r>
      <w:r w:rsidRPr="00025355" w:rsidR="00025355">
        <w:rPr>
          <w:rFonts w:ascii="Arial" w:hAnsi="Arial" w:cs="Arial"/>
          <w:kern w:val="0"/>
          <w:sz w:val="22"/>
          <w:vertAlign w:val="superscript"/>
        </w:rPr>
        <w:t>83</w:t>
      </w:r>
      <w:r w:rsidRPr="00DD3983" w:rsidR="00B135D9">
        <w:rPr>
          <w:rFonts w:ascii="Arial" w:hAnsi="Arial" w:cs="Arial"/>
          <w:sz w:val="22"/>
          <w:szCs w:val="22"/>
        </w:rPr>
        <w:fldChar w:fldCharType="end"/>
      </w:r>
      <w:r w:rsidRPr="00DD3983">
        <w:rPr>
          <w:rFonts w:ascii="Arial" w:hAnsi="Arial" w:cs="Arial"/>
          <w:sz w:val="22"/>
          <w:szCs w:val="22"/>
        </w:rPr>
        <w:t xml:space="preserve"> This delay results in missed opportunities for early intervention, participation in clinical trials, and advanced care planning</w:t>
      </w:r>
      <w:r w:rsidR="001E793F">
        <w:rPr>
          <w:rFonts w:ascii="Arial" w:hAnsi="Arial" w:cs="Arial"/>
          <w:sz w:val="22"/>
          <w:szCs w:val="22"/>
        </w:rPr>
        <w:t>.</w:t>
      </w:r>
      <w:r w:rsidRPr="00DD3983" w:rsidR="004A58FF">
        <w:rPr>
          <w:rFonts w:ascii="Arial" w:hAnsi="Arial" w:cs="Arial"/>
          <w:sz w:val="22"/>
          <w:szCs w:val="22"/>
        </w:rPr>
        <w:fldChar w:fldCharType="begin"/>
      </w:r>
      <w:r w:rsidR="00025355">
        <w:rPr>
          <w:rFonts w:ascii="Arial" w:hAnsi="Arial" w:cs="Arial"/>
          <w:sz w:val="22"/>
          <w:szCs w:val="22"/>
        </w:rPr>
        <w:instrText xml:space="preserve"> ADDIN ZOTERO_ITEM CSL_CITATION {"citationID":"gOfEFBtQ","properties":{"formattedCitation":"\\super 28\\nosupersub{}","plainCitation":"28","noteIndex":0},"citationItems":[{"id":1966,"uris":["http://zotero.org/users/10927406/items/AFEKTGG4"],"itemData":{"id":1966,"type":"article-journal","abstract":"Alzheimer's disease is the leading cause of dementia. However, neither Alzheimer’s disease nor Alzheimer’s dementia are an inevitable consequence of aging. This review provides an overview of the issues involved in a diagnosis of Alzheimer’s disease before an individual meets the criteria for Alzheimer’s dementia. It examines how Alzheimer’s disease diagnosis rates can be improved, the implications of an early diagnosis for the individual, carer and society, and the importance of risk reduction to prevent or delay progression. Although no disease-modifying agents capable of reversing the initial pathological changes are currently available, it may be possible to prevent or delay the development of dementia in a proportion of the population by modifying exposure to common risk factors. In other individuals, diagnosing the disease or risk of disease early is still valuable so that the individual and their carers have time to make choices and plan for the future, and to allow access to treatments that can help manage symptoms. Primary healthcare professionals play a pivotal role in recognising individuals at risk, recommending lifestyle changes in mid-adult life that can prevent or slow down the disease, and in timely diagnosis. Early intervention is the optimal strategy, because the patient’s level of function is preserved for longer.","container-title":"Degenerative Neurological and Neuromuscular Disease","DOI":"10.2147/DNND.S228939","ISSN":"1179-9900","journalAbbreviation":"Degener Neurol Neuromuscul Dis","note":"PMID: 31920420\nPMCID: PMC6935598","page":"123-130","source":"PubMed Central","title":"Alzheimer’s Disease – Why We Need Early Diagnosis","volume":"9","author":[{"family":"Rasmussen","given":"Jill"},{"family":"Langerman","given":"Haya"}],"issued":{"date-parts":[["2019",12,24]]}}}],"schema":"https://github.com/citation-style-language/schema/raw/master/csl-citation.json"} </w:instrText>
      </w:r>
      <w:r w:rsidRPr="00DD3983" w:rsidR="004A58FF">
        <w:rPr>
          <w:rFonts w:ascii="Arial" w:hAnsi="Arial" w:cs="Arial"/>
          <w:sz w:val="22"/>
          <w:szCs w:val="22"/>
        </w:rPr>
        <w:fldChar w:fldCharType="separate"/>
      </w:r>
      <w:r w:rsidRPr="00025355" w:rsidR="00025355">
        <w:rPr>
          <w:rFonts w:ascii="Arial" w:hAnsi="Arial" w:cs="Arial"/>
          <w:kern w:val="0"/>
          <w:sz w:val="22"/>
          <w:vertAlign w:val="superscript"/>
        </w:rPr>
        <w:t>28</w:t>
      </w:r>
      <w:r w:rsidRPr="00DD3983" w:rsidR="004A58FF">
        <w:rPr>
          <w:rFonts w:ascii="Arial" w:hAnsi="Arial" w:cs="Arial"/>
          <w:sz w:val="22"/>
          <w:szCs w:val="22"/>
        </w:rPr>
        <w:fldChar w:fldCharType="end"/>
      </w:r>
    </w:p>
    <w:p w:rsidRPr="00DD3983" w:rsidR="00FC36F6" w:rsidP="0053145B" w:rsidRDefault="00CE33E2" w14:paraId="1F77F158" w14:textId="0D185908">
      <w:pPr>
        <w:spacing w:before="100" w:beforeAutospacing="1" w:after="100" w:afterAutospacing="1" w:line="240" w:lineRule="auto"/>
        <w:jc w:val="both"/>
        <w:rPr>
          <w:rFonts w:ascii="Arial" w:hAnsi="Arial" w:cs="Arial"/>
          <w:sz w:val="22"/>
          <w:szCs w:val="22"/>
        </w:rPr>
      </w:pPr>
      <w:r w:rsidRPr="00DD3983">
        <w:rPr>
          <w:rFonts w:ascii="Arial" w:hAnsi="Arial" w:cs="Arial"/>
          <w:sz w:val="22"/>
          <w:szCs w:val="22"/>
        </w:rPr>
        <w:t>Diagnostic procedures such as neuroimaging (MRI, PET scans) and CSF analysis are prohibitively expensive, often costing thousands of dollars. In Canada, a PET scan for detecting amyloid plaques can range between $2,300 and $3,000, a cost not always covered by provincial healthcare plans</w:t>
      </w:r>
      <w:r w:rsidR="001E793F">
        <w:rPr>
          <w:rFonts w:ascii="Arial" w:hAnsi="Arial" w:cs="Arial"/>
          <w:sz w:val="22"/>
          <w:szCs w:val="22"/>
        </w:rPr>
        <w:t>.</w:t>
      </w:r>
      <w:r w:rsidRPr="00DD3983" w:rsidR="006C3114">
        <w:rPr>
          <w:rFonts w:ascii="Arial" w:hAnsi="Arial" w:cs="Arial"/>
          <w:sz w:val="22"/>
          <w:szCs w:val="22"/>
        </w:rPr>
        <w:fldChar w:fldCharType="begin"/>
      </w:r>
      <w:r w:rsidR="00025355">
        <w:rPr>
          <w:rFonts w:ascii="Arial" w:hAnsi="Arial" w:cs="Arial"/>
          <w:sz w:val="22"/>
          <w:szCs w:val="22"/>
        </w:rPr>
        <w:instrText xml:space="preserve"> ADDIN ZOTERO_ITEM CSL_CITATION {"citationID":"RPe7iVPW","properties":{"formattedCitation":"\\super 84\\nosupersub{}","plainCitation":"84","noteIndex":0},"citationItems":[{"id":"7XVybpWP/Z84CMlWa","uris":["http://zotero.org/users/14808074/items/P3GTFJNB"],"itemData":{"id":927,"type":"webpage","abstract":"But access to this cutting-edge technology is limited","container-title":"Investment Executive","language":"en","note":"section: Building Your Business","title":"Canadians turn to PET scans for health picture","URL":"https://www.investmentexecutive.com/newspaper_/building-your-business-newspaper/news-34691/","accessed":{"date-parts":[["2025",3,7]]},"issued":{"date-parts":[["2006",7,10]]}}}],"schema":"https://github.com/citation-style-language/schema/raw/master/csl-citation.json"} </w:instrText>
      </w:r>
      <w:r w:rsidRPr="00DD3983" w:rsidR="006C3114">
        <w:rPr>
          <w:rFonts w:ascii="Arial" w:hAnsi="Arial" w:cs="Arial"/>
          <w:sz w:val="22"/>
          <w:szCs w:val="22"/>
        </w:rPr>
        <w:fldChar w:fldCharType="separate"/>
      </w:r>
      <w:r w:rsidRPr="00025355" w:rsidR="00025355">
        <w:rPr>
          <w:rFonts w:ascii="Arial" w:hAnsi="Arial" w:cs="Arial"/>
          <w:kern w:val="0"/>
          <w:sz w:val="22"/>
          <w:vertAlign w:val="superscript"/>
        </w:rPr>
        <w:t>84</w:t>
      </w:r>
      <w:r w:rsidRPr="00DD3983" w:rsidR="006C3114">
        <w:rPr>
          <w:rFonts w:ascii="Arial" w:hAnsi="Arial" w:cs="Arial"/>
          <w:sz w:val="22"/>
          <w:szCs w:val="22"/>
        </w:rPr>
        <w:fldChar w:fldCharType="end"/>
      </w:r>
      <w:r w:rsidRPr="00DD3983">
        <w:rPr>
          <w:rFonts w:ascii="Arial" w:hAnsi="Arial" w:cs="Arial"/>
          <w:sz w:val="22"/>
          <w:szCs w:val="22"/>
        </w:rPr>
        <w:t xml:space="preserve"> Many patients, particularly those without comprehensive insurance, may delay or forgo diagnosis due to these high costs</w:t>
      </w:r>
      <w:r w:rsidR="001E793F">
        <w:rPr>
          <w:rFonts w:ascii="Arial" w:hAnsi="Arial" w:cs="Arial"/>
          <w:sz w:val="22"/>
          <w:szCs w:val="22"/>
        </w:rPr>
        <w:t>.</w:t>
      </w:r>
      <w:r w:rsidRPr="00DD3983" w:rsidR="005D1D45">
        <w:rPr>
          <w:rFonts w:ascii="Arial" w:hAnsi="Arial" w:cs="Arial"/>
          <w:sz w:val="22"/>
          <w:szCs w:val="22"/>
        </w:rPr>
        <w:fldChar w:fldCharType="begin"/>
      </w:r>
      <w:r w:rsidR="00025355">
        <w:rPr>
          <w:rFonts w:ascii="Arial" w:hAnsi="Arial" w:cs="Arial"/>
          <w:sz w:val="22"/>
          <w:szCs w:val="22"/>
        </w:rPr>
        <w:instrText xml:space="preserve"> ADDIN ZOTERO_ITEM CSL_CITATION {"citationID":"jXeTohqY","properties":{"formattedCitation":"\\super 85\\nosupersub{}","plainCitation":"85","noteIndex":0},"citationItems":[{"id":"7XVybpWP/tmpbhuie","uris":["http://zotero.org/users/14808074/items/34Y96CHE"],"itemData":{"id":932,"type":"article-journal","abstract":"Alzheimer's disease (AD) and other dementias are a global challenge. Early diagnosis is important to manage the disease. However, there are barriers to diagnosis that differ by region. Researchers from Brazil, China, Nigeria, Spain, and Sweden have identified key barriers to AD diagnosis in their countries. In Brazil, socioeconomic inequalities and poor recognition of dementia by physicians can prevent diagnosis. In China, a very large population and lack of physician training in dementia make diagnosis problematic. In Nigeria, socioeconomic inequalities and cultural stigma can stand in the way of diagnosis. In Spain, patient hesitancy and an overloaded health</w:instrText>
      </w:r>
      <w:r w:rsidR="00025355">
        <w:rPr>
          <w:rFonts w:ascii="Cambria Math" w:hAnsi="Cambria Math" w:cs="Cambria Math"/>
          <w:sz w:val="22"/>
          <w:szCs w:val="22"/>
        </w:rPr>
        <w:instrText>‐</w:instrText>
      </w:r>
      <w:r w:rsidR="00025355">
        <w:rPr>
          <w:rFonts w:ascii="Arial" w:hAnsi="Arial" w:cs="Arial"/>
          <w:sz w:val="22"/>
          <w:szCs w:val="22"/>
        </w:rPr>
        <w:instrText xml:space="preserve">care system are barriers to diagnosis. In Sweden, inconsistent use of biomarkers is a prominent barrier to diagnosis of AD. To support diagnosis, more focus is needed on education of patients and physicians, increased use of support services, and improved access to biomarkers to accurately diagnose AD.","container-title":"Alzheimer's &amp; Dementia : Diagnosis, Assessment &amp; Disease Monitoring","DOI":"10.1002/dad2.12334","ISSN":"2352-8729","issue":"1","journalAbbreviation":"Alzheimers Dement (Amst)","note":"PMID: 35898519\nPMCID: PMC9309007","page":"e12334","source":"PubMed Central","title":"Alzheimer's disease diagnosis and management: Perspectives from around the world","title-short":"Alzheimer's disease diagnosis and management","volume":"14","author":[{"family":"Kerwin","given":"Diana"},{"family":"Abdelnour","given":"Carla"},{"family":"Caramelli","given":"Paulo"},{"family":"Ogunniyi","given":"Adesola"},{"family":"Shi","given":"Jiong"},{"family":"Zetterberg","given":"Henrik"},{"family":"Traber","given":"Martin"}],"issued":{"date-parts":[["2022",7,24]]}}}],"schema":"https://github.com/citation-style-language/schema/raw/master/csl-citation.json"} </w:instrText>
      </w:r>
      <w:r w:rsidRPr="00DD3983" w:rsidR="005D1D45">
        <w:rPr>
          <w:rFonts w:ascii="Arial" w:hAnsi="Arial" w:cs="Arial"/>
          <w:sz w:val="22"/>
          <w:szCs w:val="22"/>
        </w:rPr>
        <w:fldChar w:fldCharType="separate"/>
      </w:r>
      <w:r w:rsidRPr="00025355" w:rsidR="00025355">
        <w:rPr>
          <w:rFonts w:ascii="Arial" w:hAnsi="Arial" w:cs="Arial"/>
          <w:kern w:val="0"/>
          <w:sz w:val="22"/>
          <w:vertAlign w:val="superscript"/>
        </w:rPr>
        <w:t>85</w:t>
      </w:r>
      <w:r w:rsidRPr="00DD3983" w:rsidR="005D1D45">
        <w:rPr>
          <w:rFonts w:ascii="Arial" w:hAnsi="Arial" w:cs="Arial"/>
          <w:sz w:val="22"/>
          <w:szCs w:val="22"/>
        </w:rPr>
        <w:fldChar w:fldCharType="end"/>
      </w:r>
      <w:r w:rsidRPr="00DD3983">
        <w:rPr>
          <w:rFonts w:ascii="Arial" w:hAnsi="Arial" w:cs="Arial"/>
          <w:sz w:val="22"/>
          <w:szCs w:val="22"/>
        </w:rPr>
        <w:t xml:space="preserve"> Specialized neurological consultations and biomarker tests further contribute to financial strain, making AD diagnosis particularly inaccessible for low-income populations</w:t>
      </w:r>
      <w:r w:rsidR="001E793F">
        <w:rPr>
          <w:rFonts w:ascii="Arial" w:hAnsi="Arial" w:cs="Arial"/>
          <w:sz w:val="22"/>
          <w:szCs w:val="22"/>
        </w:rPr>
        <w:t>.</w:t>
      </w:r>
      <w:r w:rsidRPr="00DD3983" w:rsidR="00E13633">
        <w:rPr>
          <w:rFonts w:ascii="Arial" w:hAnsi="Arial" w:cs="Arial"/>
          <w:sz w:val="22"/>
          <w:szCs w:val="22"/>
        </w:rPr>
        <w:fldChar w:fldCharType="begin"/>
      </w:r>
      <w:r w:rsidR="00025355">
        <w:rPr>
          <w:rFonts w:ascii="Arial" w:hAnsi="Arial" w:cs="Arial"/>
          <w:sz w:val="22"/>
          <w:szCs w:val="22"/>
        </w:rPr>
        <w:instrText xml:space="preserve"> ADDIN ZOTERO_ITEM CSL_CITATION {"citationID":"5JUaBGMX","properties":{"formattedCitation":"\\super 85\\nosupersub{}","plainCitation":"85","noteIndex":0},"citationItems":[{"id":"7XVybpWP/tmpbhuie","uris":["http://zotero.org/users/14808074/items/34Y96CHE"],"itemData":{"id":932,"type":"article-journal","abstract":"Alzheimer's disease (AD) and other dementias are a global challenge. Early diagnosis is important to manage the disease. However, there are barriers to diagnosis that differ by region. Researchers from Brazil, China, Nigeria, Spain, and Sweden have identified key barriers to AD diagnosis in their countries. In Brazil, socioeconomic inequalities and poor recognition of dementia by physicians can prevent diagnosis. In China, a very large population and lack of physician training in dementia make diagnosis problematic. In Nigeria, socioeconomic inequalities and cultural stigma can stand in the way of diagnosis. In Spain, patient hesitancy and an overloaded health</w:instrText>
      </w:r>
      <w:r w:rsidR="00025355">
        <w:rPr>
          <w:rFonts w:ascii="Cambria Math" w:hAnsi="Cambria Math" w:cs="Cambria Math"/>
          <w:sz w:val="22"/>
          <w:szCs w:val="22"/>
        </w:rPr>
        <w:instrText>‐</w:instrText>
      </w:r>
      <w:r w:rsidR="00025355">
        <w:rPr>
          <w:rFonts w:ascii="Arial" w:hAnsi="Arial" w:cs="Arial"/>
          <w:sz w:val="22"/>
          <w:szCs w:val="22"/>
        </w:rPr>
        <w:instrText xml:space="preserve">care system are barriers to diagnosis. In Sweden, inconsistent use of biomarkers is a prominent barrier to diagnosis of AD. To support diagnosis, more focus is needed on education of patients and physicians, increased use of support services, and improved access to biomarkers to accurately diagnose AD.","container-title":"Alzheimer's &amp; Dementia : Diagnosis, Assessment &amp; Disease Monitoring","DOI":"10.1002/dad2.12334","ISSN":"2352-8729","issue":"1","journalAbbreviation":"Alzheimers Dement (Amst)","note":"PMID: 35898519\nPMCID: PMC9309007","page":"e12334","source":"PubMed Central","title":"Alzheimer's disease diagnosis and management: Perspectives from around the world","title-short":"Alzheimer's disease diagnosis and management","volume":"14","author":[{"family":"Kerwin","given":"Diana"},{"family":"Abdelnour","given":"Carla"},{"family":"Caramelli","given":"Paulo"},{"family":"Ogunniyi","given":"Adesola"},{"family":"Shi","given":"Jiong"},{"family":"Zetterberg","given":"Henrik"},{"family":"Traber","given":"Martin"}],"issued":{"date-parts":[["2022",7,24]]}}}],"schema":"https://github.com/citation-style-language/schema/raw/master/csl-citation.json"} </w:instrText>
      </w:r>
      <w:r w:rsidRPr="00DD3983" w:rsidR="00E13633">
        <w:rPr>
          <w:rFonts w:ascii="Arial" w:hAnsi="Arial" w:cs="Arial"/>
          <w:sz w:val="22"/>
          <w:szCs w:val="22"/>
        </w:rPr>
        <w:fldChar w:fldCharType="separate"/>
      </w:r>
      <w:r w:rsidRPr="00025355" w:rsidR="00025355">
        <w:rPr>
          <w:rFonts w:ascii="Arial" w:hAnsi="Arial" w:cs="Arial"/>
          <w:kern w:val="0"/>
          <w:sz w:val="22"/>
          <w:vertAlign w:val="superscript"/>
        </w:rPr>
        <w:t>85</w:t>
      </w:r>
      <w:r w:rsidRPr="00DD3983" w:rsidR="00E13633">
        <w:rPr>
          <w:rFonts w:ascii="Arial" w:hAnsi="Arial" w:cs="Arial"/>
          <w:sz w:val="22"/>
          <w:szCs w:val="22"/>
        </w:rPr>
        <w:fldChar w:fldCharType="end"/>
      </w:r>
      <w:r w:rsidRPr="00DD3983">
        <w:rPr>
          <w:rFonts w:ascii="Arial" w:hAnsi="Arial" w:cs="Arial"/>
          <w:sz w:val="22"/>
          <w:szCs w:val="22"/>
        </w:rPr>
        <w:t xml:space="preserve"> Our review highlights the widespread recognition of cost and access as major </w:t>
      </w:r>
      <w:r w:rsidRPr="00DD3983" w:rsidR="00554391">
        <w:rPr>
          <w:rFonts w:ascii="Arial" w:hAnsi="Arial" w:cs="Arial"/>
          <w:sz w:val="22"/>
          <w:szCs w:val="22"/>
        </w:rPr>
        <w:t xml:space="preserve">barrier </w:t>
      </w:r>
      <w:r w:rsidRPr="00DD3983">
        <w:rPr>
          <w:rFonts w:ascii="Arial" w:hAnsi="Arial" w:cs="Arial"/>
          <w:sz w:val="22"/>
          <w:szCs w:val="22"/>
        </w:rPr>
        <w:t xml:space="preserve">in AD diagnosis. Nearly </w:t>
      </w:r>
      <w:r w:rsidRPr="00DD3983" w:rsidR="00B81655">
        <w:rPr>
          <w:rStyle w:val="Strong"/>
          <w:rFonts w:ascii="Arial" w:hAnsi="Arial" w:cs="Arial"/>
          <w:b w:val="0"/>
          <w:sz w:val="22"/>
          <w:szCs w:val="22"/>
        </w:rPr>
        <w:t>24</w:t>
      </w:r>
      <w:r w:rsidRPr="00DD3983">
        <w:rPr>
          <w:rStyle w:val="Strong"/>
          <w:rFonts w:ascii="Arial" w:hAnsi="Arial" w:cs="Arial"/>
          <w:b w:val="0"/>
          <w:sz w:val="22"/>
          <w:szCs w:val="22"/>
        </w:rPr>
        <w:t xml:space="preserve">% </w:t>
      </w:r>
      <w:r w:rsidRPr="00DD3983" w:rsidR="004A58FF">
        <w:rPr>
          <w:rStyle w:val="Strong"/>
          <w:rFonts w:ascii="Arial" w:hAnsi="Arial" w:cs="Arial"/>
          <w:b w:val="0"/>
          <w:sz w:val="22"/>
          <w:szCs w:val="22"/>
        </w:rPr>
        <w:t>(</w:t>
      </w:r>
      <w:r w:rsidRPr="00DD3983" w:rsidR="00E74C30">
        <w:rPr>
          <w:rStyle w:val="Strong"/>
          <w:rFonts w:ascii="Arial" w:hAnsi="Arial" w:cs="Arial"/>
          <w:b w:val="0"/>
          <w:sz w:val="22"/>
          <w:szCs w:val="22"/>
        </w:rPr>
        <w:t>n=</w:t>
      </w:r>
      <w:r w:rsidRPr="00DD3983" w:rsidR="00C00C74">
        <w:rPr>
          <w:rStyle w:val="Strong"/>
          <w:rFonts w:ascii="Arial" w:hAnsi="Arial" w:cs="Arial"/>
          <w:b w:val="0"/>
          <w:sz w:val="22"/>
          <w:szCs w:val="22"/>
        </w:rPr>
        <w:t>23</w:t>
      </w:r>
      <w:r w:rsidRPr="00DD3983" w:rsidR="004A58FF">
        <w:rPr>
          <w:rStyle w:val="Strong"/>
          <w:rFonts w:ascii="Arial" w:hAnsi="Arial" w:cs="Arial"/>
          <w:b w:val="0"/>
          <w:sz w:val="22"/>
          <w:szCs w:val="22"/>
        </w:rPr>
        <w:t xml:space="preserve">) </w:t>
      </w:r>
      <w:r w:rsidRPr="00DD3983">
        <w:rPr>
          <w:rStyle w:val="Strong"/>
          <w:rFonts w:ascii="Arial" w:hAnsi="Arial" w:cs="Arial"/>
          <w:b w:val="0"/>
          <w:sz w:val="22"/>
          <w:szCs w:val="22"/>
        </w:rPr>
        <w:t>of biomedical studies</w:t>
      </w:r>
      <w:r w:rsidRPr="00DD3983">
        <w:rPr>
          <w:rFonts w:ascii="Arial" w:hAnsi="Arial" w:cs="Arial"/>
          <w:b/>
          <w:sz w:val="22"/>
          <w:szCs w:val="22"/>
        </w:rPr>
        <w:t xml:space="preserve"> </w:t>
      </w:r>
      <w:r w:rsidRPr="00DD3983">
        <w:rPr>
          <w:rFonts w:ascii="Arial" w:hAnsi="Arial" w:cs="Arial"/>
          <w:sz w:val="22"/>
          <w:szCs w:val="22"/>
        </w:rPr>
        <w:t>and</w:t>
      </w:r>
      <w:r w:rsidRPr="00DD3983">
        <w:rPr>
          <w:rFonts w:ascii="Arial" w:hAnsi="Arial" w:cs="Arial"/>
          <w:b/>
          <w:sz w:val="22"/>
          <w:szCs w:val="22"/>
        </w:rPr>
        <w:t xml:space="preserve"> </w:t>
      </w:r>
      <w:r w:rsidRPr="00DD3983" w:rsidR="00750FDD">
        <w:rPr>
          <w:rStyle w:val="Strong"/>
          <w:rFonts w:ascii="Arial" w:hAnsi="Arial" w:cs="Arial"/>
          <w:b w:val="0"/>
          <w:sz w:val="22"/>
          <w:szCs w:val="22"/>
        </w:rPr>
        <w:t>31%</w:t>
      </w:r>
      <w:r w:rsidRPr="00DD3983" w:rsidR="003C4915">
        <w:rPr>
          <w:rStyle w:val="Strong"/>
          <w:rFonts w:ascii="Arial" w:hAnsi="Arial" w:cs="Arial"/>
          <w:b w:val="0"/>
          <w:sz w:val="22"/>
          <w:szCs w:val="22"/>
        </w:rPr>
        <w:t xml:space="preserve"> </w:t>
      </w:r>
      <w:r w:rsidRPr="00DD3983" w:rsidR="00CA4338">
        <w:rPr>
          <w:rStyle w:val="normaltextrun"/>
          <w:rFonts w:ascii="Arial" w:hAnsi="Arial" w:cs="Arial" w:eastAsiaTheme="majorEastAsia"/>
          <w:color w:val="000000" w:themeColor="text1"/>
          <w:sz w:val="22"/>
          <w:szCs w:val="22"/>
        </w:rPr>
        <w:t xml:space="preserve">(n= </w:t>
      </w:r>
      <w:r w:rsidRPr="00DD3983" w:rsidR="004F5600">
        <w:rPr>
          <w:rStyle w:val="normaltextrun"/>
          <w:rFonts w:ascii="Arial" w:hAnsi="Arial" w:cs="Arial" w:eastAsiaTheme="majorEastAsia"/>
          <w:color w:val="000000" w:themeColor="text1"/>
          <w:sz w:val="22"/>
          <w:szCs w:val="22"/>
        </w:rPr>
        <w:t>9</w:t>
      </w:r>
      <w:r w:rsidRPr="00DD3983" w:rsidR="00CA4338">
        <w:rPr>
          <w:rStyle w:val="normaltextrun"/>
          <w:rFonts w:ascii="Arial" w:hAnsi="Arial" w:cs="Arial" w:eastAsiaTheme="majorEastAsia"/>
          <w:color w:val="000000" w:themeColor="text1"/>
          <w:sz w:val="22"/>
          <w:szCs w:val="22"/>
        </w:rPr>
        <w:t>)</w:t>
      </w:r>
      <w:r w:rsidRPr="00DD3983" w:rsidR="004A58FF">
        <w:rPr>
          <w:rStyle w:val="normaltextrun"/>
          <w:rFonts w:ascii="Arial" w:hAnsi="Arial" w:cs="Arial" w:eastAsiaTheme="majorEastAsia"/>
          <w:color w:val="000000" w:themeColor="text1"/>
          <w:sz w:val="22"/>
          <w:szCs w:val="22"/>
        </w:rPr>
        <w:t xml:space="preserve"> </w:t>
      </w:r>
      <w:r w:rsidRPr="00DD3983">
        <w:rPr>
          <w:rStyle w:val="Strong"/>
          <w:rFonts w:ascii="Arial" w:hAnsi="Arial" w:cs="Arial"/>
          <w:b w:val="0"/>
          <w:sz w:val="22"/>
          <w:szCs w:val="22"/>
        </w:rPr>
        <w:t>of neuropsychological studies</w:t>
      </w:r>
      <w:r w:rsidRPr="00DD3983">
        <w:rPr>
          <w:rFonts w:ascii="Arial" w:hAnsi="Arial" w:cs="Arial"/>
          <w:b/>
          <w:sz w:val="22"/>
          <w:szCs w:val="22"/>
        </w:rPr>
        <w:t xml:space="preserve"> </w:t>
      </w:r>
      <w:r w:rsidRPr="00DD3983">
        <w:rPr>
          <w:rFonts w:ascii="Arial" w:hAnsi="Arial" w:cs="Arial"/>
          <w:sz w:val="22"/>
          <w:szCs w:val="22"/>
        </w:rPr>
        <w:t xml:space="preserve">we analyzed identified financial barriers as a key obstacle to early detection and care. </w:t>
      </w:r>
      <w:r w:rsidRPr="00DD3983" w:rsidR="00FC36F6">
        <w:rPr>
          <w:rFonts w:ascii="Arial" w:hAnsi="Arial" w:cs="Arial"/>
          <w:sz w:val="22"/>
          <w:szCs w:val="22"/>
        </w:rPr>
        <w:t>Addressing the financial barriers to A</w:t>
      </w:r>
      <w:r w:rsidRPr="00DD3983" w:rsidR="00924F60">
        <w:rPr>
          <w:rFonts w:ascii="Arial" w:hAnsi="Arial" w:cs="Arial"/>
          <w:sz w:val="22"/>
          <w:szCs w:val="22"/>
        </w:rPr>
        <w:t>D</w:t>
      </w:r>
      <w:r w:rsidRPr="00DD3983" w:rsidR="00FC36F6">
        <w:rPr>
          <w:rFonts w:ascii="Arial" w:hAnsi="Arial" w:cs="Arial"/>
          <w:sz w:val="22"/>
          <w:szCs w:val="22"/>
        </w:rPr>
        <w:t xml:space="preserve"> diagnosis is essential for improving early detection and reducing long-term healthcare costs. Delayed diagnosis not only accelerates cognitive decline but also increases the economic strain on individuals, families, and healthcare systems</w:t>
      </w:r>
      <w:r w:rsidR="001E793F">
        <w:rPr>
          <w:rFonts w:ascii="Arial" w:hAnsi="Arial" w:cs="Arial"/>
          <w:sz w:val="22"/>
          <w:szCs w:val="22"/>
        </w:rPr>
        <w:t>.</w:t>
      </w:r>
      <w:r w:rsidRPr="00DD3983" w:rsidR="002C5C68">
        <w:rPr>
          <w:rFonts w:ascii="Arial" w:hAnsi="Arial" w:cs="Arial"/>
          <w:sz w:val="22"/>
          <w:szCs w:val="22"/>
        </w:rPr>
        <w:fldChar w:fldCharType="begin"/>
      </w:r>
      <w:r w:rsidR="00025355">
        <w:rPr>
          <w:rFonts w:ascii="Arial" w:hAnsi="Arial" w:cs="Arial"/>
          <w:sz w:val="22"/>
          <w:szCs w:val="22"/>
        </w:rPr>
        <w:instrText xml:space="preserve"> ADDIN ZOTERO_ITEM CSL_CITATION {"citationID":"vnAlxDZi","properties":{"formattedCitation":"\\super 28\\nosupersub{}","plainCitation":"28","noteIndex":0},"citationItems":[{"id":1966,"uris":["http://zotero.org/users/10927406/items/AFEKTGG4"],"itemData":{"id":1966,"type":"article-journal","abstract":"Alzheimer's disease is the leading cause of dementia. However, neither Alzheimer’s disease nor Alzheimer’s dementia are an inevitable consequence of aging. This review provides an overview of the issues involved in a diagnosis of Alzheimer’s disease before an individual meets the criteria for Alzheimer’s dementia. It examines how Alzheimer’s disease diagnosis rates can be improved, the implications of an early diagnosis for the individual, carer and society, and the importance of risk reduction to prevent or delay progression. Although no disease-modifying agents capable of reversing the initial pathological changes are currently available, it may be possible to prevent or delay the development of dementia in a proportion of the population by modifying exposure to common risk factors. In other individuals, diagnosing the disease or risk of disease early is still valuable so that the individual and their carers have time to make choices and plan for the future, and to allow access to treatments that can help manage symptoms. Primary healthcare professionals play a pivotal role in recognising individuals at risk, recommending lifestyle changes in mid-adult life that can prevent or slow down the disease, and in timely diagnosis. Early intervention is the optimal strategy, because the patient’s level of function is preserved for longer.","container-title":"Degenerative Neurological and Neuromuscular Disease","DOI":"10.2147/DNND.S228939","ISSN":"1179-9900","journalAbbreviation":"Degener Neurol Neuromuscul Dis","note":"PMID: 31920420\nPMCID: PMC6935598","page":"123-130","source":"PubMed Central","title":"Alzheimer’s Disease – Why We Need Early Diagnosis","volume":"9","author":[{"family":"Rasmussen","given":"Jill"},{"family":"Langerman","given":"Haya"}],"issued":{"date-parts":[["2019",12,24]]}}}],"schema":"https://github.com/citation-style-language/schema/raw/master/csl-citation.json"} </w:instrText>
      </w:r>
      <w:r w:rsidRPr="00DD3983" w:rsidR="002C5C68">
        <w:rPr>
          <w:rFonts w:ascii="Arial" w:hAnsi="Arial" w:cs="Arial"/>
          <w:sz w:val="22"/>
          <w:szCs w:val="22"/>
        </w:rPr>
        <w:fldChar w:fldCharType="separate"/>
      </w:r>
      <w:r w:rsidRPr="00025355" w:rsidR="00025355">
        <w:rPr>
          <w:rFonts w:ascii="Arial" w:hAnsi="Arial" w:cs="Arial"/>
          <w:kern w:val="0"/>
          <w:sz w:val="22"/>
          <w:vertAlign w:val="superscript"/>
        </w:rPr>
        <w:t>28</w:t>
      </w:r>
      <w:r w:rsidRPr="00DD3983" w:rsidR="002C5C68">
        <w:rPr>
          <w:rFonts w:ascii="Arial" w:hAnsi="Arial" w:cs="Arial"/>
          <w:sz w:val="22"/>
          <w:szCs w:val="22"/>
        </w:rPr>
        <w:fldChar w:fldCharType="end"/>
      </w:r>
      <w:r w:rsidRPr="00DD3983" w:rsidR="00FC36F6">
        <w:rPr>
          <w:rFonts w:ascii="Arial" w:hAnsi="Arial" w:cs="Arial"/>
          <w:sz w:val="22"/>
          <w:szCs w:val="22"/>
        </w:rPr>
        <w:t xml:space="preserve"> Early intervention during the </w:t>
      </w:r>
      <w:r w:rsidRPr="00DD3983" w:rsidR="008E07C7">
        <w:rPr>
          <w:rFonts w:ascii="Arial" w:hAnsi="Arial" w:cs="Arial"/>
          <w:sz w:val="22"/>
          <w:szCs w:val="22"/>
        </w:rPr>
        <w:t>MCI</w:t>
      </w:r>
      <w:r w:rsidRPr="00DD3983" w:rsidR="00FC36F6">
        <w:rPr>
          <w:rFonts w:ascii="Arial" w:hAnsi="Arial" w:cs="Arial"/>
          <w:sz w:val="22"/>
          <w:szCs w:val="22"/>
        </w:rPr>
        <w:t xml:space="preserve"> or prodromal stages has the potential to significantly lower overall dementia-related expenses by enabling timely treatment and care planning</w:t>
      </w:r>
      <w:r w:rsidR="001E793F">
        <w:rPr>
          <w:rFonts w:ascii="Arial" w:hAnsi="Arial" w:cs="Arial"/>
          <w:sz w:val="22"/>
          <w:szCs w:val="22"/>
        </w:rPr>
        <w:t>.</w:t>
      </w:r>
      <w:r w:rsidRPr="00DD3983" w:rsidR="00D47247">
        <w:rPr>
          <w:rFonts w:ascii="Arial" w:hAnsi="Arial" w:cs="Arial"/>
          <w:sz w:val="22"/>
          <w:szCs w:val="22"/>
        </w:rPr>
        <w:fldChar w:fldCharType="begin"/>
      </w:r>
      <w:r w:rsidR="00025355">
        <w:rPr>
          <w:rFonts w:ascii="Arial" w:hAnsi="Arial" w:cs="Arial"/>
          <w:sz w:val="22"/>
          <w:szCs w:val="22"/>
        </w:rPr>
        <w:instrText xml:space="preserve"> ADDIN ZOTERO_ITEM CSL_CITATION {"citationID":"Zn0FFFMc","properties":{"formattedCitation":"\\super 28\\nosupersub{}","plainCitation":"28","noteIndex":0},"citationItems":[{"id":1966,"uris":["http://zotero.org/users/10927406/items/AFEKTGG4"],"itemData":{"id":1966,"type":"article-journal","abstract":"Alzheimer's disease is the leading cause of dementia. However, neither Alzheimer’s disease nor Alzheimer’s dementia are an inevitable consequence of aging. This review provides an overview of the issues involved in a diagnosis of Alzheimer’s disease before an individual meets the criteria for Alzheimer’s dementia. It examines how Alzheimer’s disease diagnosis rates can be improved, the implications of an early diagnosis for the individual, carer and society, and the importance of risk reduction to prevent or delay progression. Although no disease-modifying agents capable of reversing the initial pathological changes are currently available, it may be possible to prevent or delay the development of dementia in a proportion of the population by modifying exposure to common risk factors. In other individuals, diagnosing the disease or risk of disease early is still valuable so that the individual and their carers have time to make choices and plan for the future, and to allow access to treatments that can help manage symptoms. Primary healthcare professionals play a pivotal role in recognising individuals at risk, recommending lifestyle changes in mid-adult life that can prevent or slow down the disease, and in timely diagnosis. Early intervention is the optimal strategy, because the patient’s level of function is preserved for longer.","container-title":"Degenerative Neurological and Neuromuscular Disease","DOI":"10.2147/DNND.S228939","ISSN":"1179-9900","journalAbbreviation":"Degener Neurol Neuromuscul Dis","note":"PMID: 31920420\nPMCID: PMC6935598","page":"123-130","source":"PubMed Central","title":"Alzheimer’s Disease – Why We Need Early Diagnosis","volume":"9","author":[{"family":"Rasmussen","given":"Jill"},{"family":"Langerman","given":"Haya"}],"issued":{"date-parts":[["2019",12,24]]}}}],"schema":"https://github.com/citation-style-language/schema/raw/master/csl-citation.json"} </w:instrText>
      </w:r>
      <w:r w:rsidRPr="00DD3983" w:rsidR="00D47247">
        <w:rPr>
          <w:rFonts w:ascii="Arial" w:hAnsi="Arial" w:cs="Arial"/>
          <w:sz w:val="22"/>
          <w:szCs w:val="22"/>
        </w:rPr>
        <w:fldChar w:fldCharType="separate"/>
      </w:r>
      <w:r w:rsidRPr="00025355" w:rsidR="00025355">
        <w:rPr>
          <w:rFonts w:ascii="Arial" w:hAnsi="Arial" w:cs="Arial"/>
          <w:kern w:val="0"/>
          <w:sz w:val="22"/>
          <w:vertAlign w:val="superscript"/>
        </w:rPr>
        <w:t>28</w:t>
      </w:r>
      <w:r w:rsidRPr="00DD3983" w:rsidR="00D47247">
        <w:rPr>
          <w:rFonts w:ascii="Arial" w:hAnsi="Arial" w:cs="Arial"/>
          <w:sz w:val="22"/>
          <w:szCs w:val="22"/>
        </w:rPr>
        <w:fldChar w:fldCharType="end"/>
      </w:r>
      <w:r w:rsidRPr="00DD3983" w:rsidR="00FC36F6">
        <w:rPr>
          <w:rFonts w:ascii="Arial" w:hAnsi="Arial" w:cs="Arial"/>
          <w:sz w:val="22"/>
          <w:szCs w:val="22"/>
        </w:rPr>
        <w:t xml:space="preserve"> These findings underscore the urgent need for more accessible and cost-effective diagnostic strategies to alleviate both personal and societal burdens associated with AD.</w:t>
      </w:r>
    </w:p>
    <w:p w:rsidRPr="00DD3983" w:rsidR="008326D0" w:rsidP="00993411" w:rsidRDefault="00213607" w14:paraId="2A6A3CBC" w14:textId="3F3C073E">
      <w:pPr>
        <w:pStyle w:val="Heading2"/>
        <w:spacing w:before="0"/>
      </w:pPr>
      <w:r w:rsidRPr="00DD3983">
        <w:t>Implications for Shifting to a Prevention-Focused Approach: Practical Benefits and Economic Impact</w:t>
      </w:r>
    </w:p>
    <w:p w:rsidRPr="00DD3983" w:rsidR="008C15C3" w:rsidP="006A4ABC" w:rsidRDefault="00A561AA" w14:paraId="49C1CE51" w14:textId="1A7AE708">
      <w:pPr>
        <w:spacing w:after="0" w:line="240" w:lineRule="auto"/>
        <w:jc w:val="both"/>
        <w:rPr>
          <w:rFonts w:ascii="Arial" w:hAnsi="Arial" w:cs="Arial"/>
          <w:sz w:val="22"/>
          <w:szCs w:val="22"/>
        </w:rPr>
      </w:pPr>
      <w:r w:rsidRPr="00DD3983">
        <w:rPr>
          <w:rFonts w:ascii="Arial" w:hAnsi="Arial" w:cs="Arial"/>
          <w:sz w:val="22"/>
          <w:szCs w:val="22"/>
        </w:rPr>
        <w:t xml:space="preserve">Our findings on cross-disciplinary barriers to early AD diagnosis align with and extend the framework outlined in the </w:t>
      </w:r>
      <w:r w:rsidR="003303A8">
        <w:rPr>
          <w:rFonts w:ascii="Arial" w:hAnsi="Arial" w:cs="Arial"/>
          <w:sz w:val="22"/>
          <w:szCs w:val="22"/>
        </w:rPr>
        <w:t xml:space="preserve">2021 </w:t>
      </w:r>
      <w:r w:rsidRPr="00DD3983">
        <w:rPr>
          <w:rFonts w:ascii="Arial" w:hAnsi="Arial" w:cs="Arial"/>
          <w:sz w:val="22"/>
          <w:szCs w:val="22"/>
        </w:rPr>
        <w:t>World Alzheimer Report, which emphasizes that timely diagnosis remains "the crucial first step in the dementia journey" yet is profoundly underutilized globally</w:t>
      </w:r>
      <w:r w:rsidR="004A1AEB">
        <w:rPr>
          <w:rFonts w:ascii="Arial" w:hAnsi="Arial" w:cs="Arial"/>
          <w:sz w:val="22"/>
          <w:szCs w:val="22"/>
        </w:rPr>
        <w:t>.</w:t>
      </w:r>
      <w:r w:rsidRPr="00DD3983" w:rsidR="00507859">
        <w:rPr>
          <w:rFonts w:ascii="Arial" w:hAnsi="Arial" w:cs="Arial"/>
          <w:sz w:val="22"/>
          <w:szCs w:val="22"/>
        </w:rPr>
        <w:fldChar w:fldCharType="begin"/>
      </w:r>
      <w:r w:rsidR="00025355">
        <w:rPr>
          <w:rFonts w:ascii="Arial" w:hAnsi="Arial" w:cs="Arial"/>
          <w:sz w:val="22"/>
          <w:szCs w:val="22"/>
        </w:rPr>
        <w:instrText xml:space="preserve"> ADDIN ZOTERO_ITEM CSL_CITATION {"citationID":"fZwE8LXv","properties":{"formattedCitation":"\\super 86\\nosupersub{}","plainCitation":"86","noteIndex":0},"citationItems":[{"id":2036,"uris":["http://zotero.org/users/10927406/items/SHWCTLY2"],"itemData":{"id":2036,"type":"article-journal","abstract":"The World Alzheimer Report 2021 includes over 50 essays from leading experts from around the world and is supported by findings from 3 key global surveys, which received responses from 1,111 clinicians, 2,325 people with dementia and carers, and over 100 national Alzheimer and dementia associations.","language":"en","source":"www.alzint.org","title":"World Alzheimer Report 2021: Journey through the diagnosis of dementia","title-short":"World Alzheimer Report 2021","URL":"https://www.alzint.org/resource/world-alzheimer-report-2021/","author":[{"family":"International","given":"Alzheimer's Disease"},{"family":"University","given":"McGill"}],"accessed":{"date-parts":[["2025",3,24]]},"issued":{"date-parts":[["2021",9,21]]}}}],"schema":"https://github.com/citation-style-language/schema/raw/master/csl-citation.json"} </w:instrText>
      </w:r>
      <w:r w:rsidRPr="00DD3983" w:rsidR="00507859">
        <w:rPr>
          <w:rFonts w:ascii="Arial" w:hAnsi="Arial" w:cs="Arial"/>
          <w:sz w:val="22"/>
          <w:szCs w:val="22"/>
        </w:rPr>
        <w:fldChar w:fldCharType="separate"/>
      </w:r>
      <w:r w:rsidRPr="00025355" w:rsidR="00025355">
        <w:rPr>
          <w:rFonts w:ascii="Arial" w:hAnsi="Arial" w:cs="Arial"/>
          <w:kern w:val="0"/>
          <w:sz w:val="22"/>
          <w:vertAlign w:val="superscript"/>
        </w:rPr>
        <w:t>86</w:t>
      </w:r>
      <w:r w:rsidRPr="00DD3983" w:rsidR="00507859">
        <w:rPr>
          <w:rFonts w:ascii="Arial" w:hAnsi="Arial" w:cs="Arial"/>
          <w:sz w:val="22"/>
          <w:szCs w:val="22"/>
        </w:rPr>
        <w:fldChar w:fldCharType="end"/>
      </w:r>
      <w:r w:rsidRPr="00DD3983">
        <w:rPr>
          <w:rFonts w:ascii="Arial" w:hAnsi="Arial" w:cs="Arial"/>
          <w:sz w:val="22"/>
          <w:szCs w:val="22"/>
        </w:rPr>
        <w:t xml:space="preserve"> The report highlights that up to 75% of people with dementia worldwide remain undiagnosed, with this gap reaching 90% in low and middle-income countries—figures that reflect the compounding effects of the barriers we identified across biomedical, neuropsychological, and public health disciplines. These statistics take on even greater significance when considered alongside the Lancet Commission's finding that up to 40% of dementia cases could be prevented or delayed through intervention on modifiable risk factors, which is only possible with timely diagnosis</w:t>
      </w:r>
      <w:r w:rsidR="004A1AEB">
        <w:rPr>
          <w:rFonts w:ascii="Arial" w:hAnsi="Arial" w:cs="Arial"/>
          <w:sz w:val="22"/>
          <w:szCs w:val="22"/>
        </w:rPr>
        <w:t>.</w:t>
      </w:r>
      <w:r w:rsidRPr="00DD3983" w:rsidR="00D1457C">
        <w:rPr>
          <w:rFonts w:ascii="Arial" w:hAnsi="Arial" w:cs="Arial"/>
          <w:sz w:val="22"/>
          <w:szCs w:val="22"/>
        </w:rPr>
        <w:fldChar w:fldCharType="begin"/>
      </w:r>
      <w:r w:rsidR="00025355">
        <w:rPr>
          <w:rFonts w:ascii="Arial" w:hAnsi="Arial" w:cs="Arial"/>
          <w:sz w:val="22"/>
          <w:szCs w:val="22"/>
        </w:rPr>
        <w:instrText xml:space="preserve"> ADDIN ZOTERO_ITEM CSL_CITATION {"citationID":"743ddXUB","properties":{"formattedCitation":"\\super 11\\nosupersub{}","plainCitation":"11","noteIndex":0},"citationItems":[{"id":1976,"uris":["http://zotero.org/users/10927406/items/PP4RMC87"],"itemData":{"id":1976,"type":"article-journal","container-title":"The Lancet","DOI":"10.1016/S0140-6736(24)01296-0","ISSN":"0140-6736, 1474-547X","issue":"10452","journalAbbreviation":"The Lancet","language":"English","note":"publisher: Elsevier\nPMID: 39096926","page":"572-628","source":"www.thelancet.com","title":"Dementia prevention, intervention, and care: 2024 report of the Lancet standing Commission","title-short":"Dementia prevention, intervention, and care","volume":"404","author":[{"family":"Livingston","given":"Gill"},{"family":"Huntley","given":"Jonathan"},{"family":"Liu","given":"Kathy Y."},{"family":"Costafreda","given":"Sergi G."},{"family":"Selbæk","given":"Geir"},{"family":"Alladi","given":"Suvarna"},{"family":"Ames","given":"David"},{"family":"Banerjee","given":"Sube"},{"family":"Burns","given":"Alistair"},{"family":"Brayne","given":"Carol"},{"family":"Fox","given":"Nick C."},{"family":"Ferri","given":"Cleusa P."},{"family":"Gitlin","given":"Laura N."},{"family":"Howard","given":"Robert"},{"family":"Kales","given":"Helen C."},{"family":"Kivimäki","given":"Mika"},{"family":"Larson","given":"Eric B."},{"family":"Nakasujja","given":"Noeline"},{"family":"Rockwood","given":"Kenneth"},{"family":"Samus","given":"Quincy"},{"family":"Shirai","given":"Kokoro"},{"family":"Singh-Manoux","given":"Archana"},{"family":"Schneider","given":"Lon S."},{"family":"Walsh","given":"Sebastian"},{"family":"Yao","given":"Yao"},{"family":"Sommerlad","given":"Andrew"},{"family":"Mukadam","given":"Naaheed"}],"issued":{"date-parts":[["2024",8,10]]}}}],"schema":"https://github.com/citation-style-language/schema/raw/master/csl-citation.json"} </w:instrText>
      </w:r>
      <w:r w:rsidRPr="00DD3983" w:rsidR="00D1457C">
        <w:rPr>
          <w:rFonts w:ascii="Arial" w:hAnsi="Arial" w:cs="Arial"/>
          <w:sz w:val="22"/>
          <w:szCs w:val="22"/>
        </w:rPr>
        <w:fldChar w:fldCharType="separate"/>
      </w:r>
      <w:r w:rsidRPr="00025355" w:rsidR="00025355">
        <w:rPr>
          <w:rFonts w:ascii="Arial" w:hAnsi="Arial" w:cs="Arial"/>
          <w:kern w:val="0"/>
          <w:sz w:val="22"/>
          <w:vertAlign w:val="superscript"/>
        </w:rPr>
        <w:t>11</w:t>
      </w:r>
      <w:r w:rsidRPr="00DD3983" w:rsidR="00D1457C">
        <w:rPr>
          <w:rFonts w:ascii="Arial" w:hAnsi="Arial" w:cs="Arial"/>
          <w:sz w:val="22"/>
          <w:szCs w:val="22"/>
        </w:rPr>
        <w:fldChar w:fldCharType="end"/>
      </w:r>
    </w:p>
    <w:p w:rsidRPr="00DD3983" w:rsidR="00DF5AF2" w:rsidP="006A4ABC" w:rsidRDefault="00C61ED1" w14:paraId="1182A0DF" w14:textId="7E078FDA">
      <w:pPr>
        <w:spacing w:before="100" w:beforeAutospacing="1" w:after="100" w:afterAutospacing="1" w:line="240" w:lineRule="auto"/>
        <w:jc w:val="both"/>
        <w:rPr>
          <w:rFonts w:ascii="Arial" w:hAnsi="Arial" w:cs="Arial"/>
          <w:sz w:val="22"/>
          <w:szCs w:val="22"/>
        </w:rPr>
      </w:pPr>
      <w:r w:rsidRPr="00DD3983">
        <w:rPr>
          <w:rFonts w:ascii="Arial" w:hAnsi="Arial" w:cs="Arial"/>
          <w:sz w:val="22"/>
          <w:szCs w:val="22"/>
        </w:rPr>
        <w:t>In the context of a rapidly aging global population</w:t>
      </w:r>
      <w:r w:rsidRPr="00DD3983" w:rsidR="00D70001">
        <w:rPr>
          <w:rFonts w:ascii="Arial" w:hAnsi="Arial" w:cs="Arial"/>
          <w:sz w:val="22"/>
          <w:szCs w:val="22"/>
        </w:rPr>
        <w:t xml:space="preserve"> the urgency of prioritizing early diagnosis </w:t>
      </w:r>
      <w:r w:rsidRPr="00DD3983" w:rsidR="00CD71F6">
        <w:rPr>
          <w:rFonts w:ascii="Arial" w:hAnsi="Arial" w:cs="Arial"/>
          <w:sz w:val="22"/>
          <w:szCs w:val="22"/>
        </w:rPr>
        <w:t>is paramount</w:t>
      </w:r>
      <w:r w:rsidRPr="00DD3983" w:rsidR="00C7302D">
        <w:rPr>
          <w:rFonts w:ascii="Arial" w:hAnsi="Arial" w:cs="Arial"/>
          <w:sz w:val="22"/>
          <w:szCs w:val="22"/>
        </w:rPr>
        <w:t xml:space="preserve">. </w:t>
      </w:r>
      <w:r w:rsidRPr="00DD3983" w:rsidR="00D1457C">
        <w:rPr>
          <w:rFonts w:ascii="Arial" w:hAnsi="Arial" w:cs="Arial"/>
          <w:sz w:val="22"/>
          <w:szCs w:val="22"/>
        </w:rPr>
        <w:t>T</w:t>
      </w:r>
      <w:r w:rsidRPr="00DD3983" w:rsidR="00C7302D">
        <w:rPr>
          <w:rFonts w:ascii="Arial" w:hAnsi="Arial" w:cs="Arial"/>
          <w:sz w:val="22"/>
          <w:szCs w:val="22"/>
        </w:rPr>
        <w:t>he projected 203% increase in Canadians living with AD by 2050 represents a pattern mirrored globally. The World Alzheimer Report contextualizes this trend, noting that someone in the world develops dementia every three seconds, with numbers expected to double every 20 years, reaching 152 million by 2050</w:t>
      </w:r>
      <w:r w:rsidR="0063244B">
        <w:rPr>
          <w:rFonts w:ascii="Arial" w:hAnsi="Arial" w:cs="Arial"/>
          <w:sz w:val="22"/>
          <w:szCs w:val="22"/>
        </w:rPr>
        <w:t>.</w:t>
      </w:r>
      <w:r w:rsidRPr="00DD3983" w:rsidR="008E7F9E">
        <w:rPr>
          <w:rFonts w:ascii="Arial" w:hAnsi="Arial" w:cs="Arial"/>
          <w:sz w:val="22"/>
          <w:szCs w:val="22"/>
        </w:rPr>
        <w:fldChar w:fldCharType="begin"/>
      </w:r>
      <w:r w:rsidR="00025355">
        <w:rPr>
          <w:rFonts w:ascii="Arial" w:hAnsi="Arial" w:cs="Arial"/>
          <w:sz w:val="22"/>
          <w:szCs w:val="22"/>
        </w:rPr>
        <w:instrText xml:space="preserve"> ADDIN ZOTERO_ITEM CSL_CITATION {"citationID":"r8VCdUCP","properties":{"formattedCitation":"\\super 86\\nosupersub{}","plainCitation":"86","noteIndex":0},"citationItems":[{"id":2036,"uris":["http://zotero.org/users/10927406/items/SHWCTLY2"],"itemData":{"id":2036,"type":"article-journal","abstract":"The World Alzheimer Report 2021 includes over 50 essays from leading experts from around the world and is supported by findings from 3 key global surveys, which received responses from 1,111 clinicians, 2,325 people with dementia and carers, and over 100 national Alzheimer and dementia associations.","language":"en","source":"www.alzint.org","title":"World Alzheimer Report 2021: Journey through the diagnosis of dementia","title-short":"World Alzheimer Report 2021","URL":"https://www.alzint.org/resource/world-alzheimer-report-2021/","author":[{"family":"International","given":"Alzheimer's Disease"},{"family":"University","given":"McGill"}],"accessed":{"date-parts":[["2025",3,24]]},"issued":{"date-parts":[["2021",9,21]]}}}],"schema":"https://github.com/citation-style-language/schema/raw/master/csl-citation.json"} </w:instrText>
      </w:r>
      <w:r w:rsidRPr="00DD3983" w:rsidR="008E7F9E">
        <w:rPr>
          <w:rFonts w:ascii="Arial" w:hAnsi="Arial" w:cs="Arial"/>
          <w:sz w:val="22"/>
          <w:szCs w:val="22"/>
        </w:rPr>
        <w:fldChar w:fldCharType="separate"/>
      </w:r>
      <w:r w:rsidRPr="00025355" w:rsidR="00025355">
        <w:rPr>
          <w:rFonts w:ascii="Arial" w:hAnsi="Arial" w:cs="Arial"/>
          <w:kern w:val="0"/>
          <w:sz w:val="22"/>
          <w:vertAlign w:val="superscript"/>
        </w:rPr>
        <w:t>86</w:t>
      </w:r>
      <w:r w:rsidRPr="00DD3983" w:rsidR="008E7F9E">
        <w:rPr>
          <w:rFonts w:ascii="Arial" w:hAnsi="Arial" w:cs="Arial"/>
          <w:sz w:val="22"/>
          <w:szCs w:val="22"/>
        </w:rPr>
        <w:fldChar w:fldCharType="end"/>
      </w:r>
      <w:r w:rsidRPr="00DD3983" w:rsidR="00C7302D">
        <w:rPr>
          <w:rFonts w:ascii="Arial" w:hAnsi="Arial" w:cs="Arial"/>
          <w:sz w:val="22"/>
          <w:szCs w:val="22"/>
        </w:rPr>
        <w:t xml:space="preserve"> This demographic reality creates a rapidly narrowing window for implementing effective screening and diagnostic strategies before healthcare systems become overwhelmed. The barriers we identified—particularly cost and limited generalizability—directly impede </w:t>
      </w:r>
      <w:r w:rsidRPr="00DD3983" w:rsidR="00A73906">
        <w:rPr>
          <w:rFonts w:ascii="Arial" w:hAnsi="Arial" w:cs="Arial"/>
          <w:sz w:val="22"/>
          <w:szCs w:val="22"/>
        </w:rPr>
        <w:t>global efforts</w:t>
      </w:r>
      <w:r w:rsidRPr="00DD3983" w:rsidR="00C7302D">
        <w:rPr>
          <w:rFonts w:ascii="Arial" w:hAnsi="Arial" w:cs="Arial"/>
          <w:sz w:val="22"/>
          <w:szCs w:val="22"/>
        </w:rPr>
        <w:t xml:space="preserve"> to meet this urgent demographic challenge.</w:t>
      </w:r>
    </w:p>
    <w:p w:rsidRPr="00DD3983" w:rsidR="009A296E" w:rsidP="007B388C" w:rsidRDefault="00186677" w14:paraId="0510A262" w14:textId="47CA1D24">
      <w:pPr>
        <w:spacing w:before="100" w:beforeAutospacing="1" w:after="100" w:afterAutospacing="1" w:line="240" w:lineRule="auto"/>
        <w:jc w:val="both"/>
        <w:rPr>
          <w:rFonts w:ascii="Arial" w:hAnsi="Arial" w:cs="Arial"/>
          <w:sz w:val="22"/>
          <w:szCs w:val="22"/>
        </w:rPr>
      </w:pPr>
      <w:r w:rsidRPr="00DD3983">
        <w:rPr>
          <w:rFonts w:ascii="Arial" w:hAnsi="Arial" w:cs="Arial"/>
          <w:sz w:val="22"/>
          <w:szCs w:val="22"/>
        </w:rPr>
        <w:t xml:space="preserve">With </w:t>
      </w:r>
      <w:r w:rsidRPr="00DD3983" w:rsidR="00D03ABB">
        <w:rPr>
          <w:rFonts w:ascii="Arial" w:hAnsi="Arial" w:cs="Arial"/>
          <w:sz w:val="22"/>
          <w:szCs w:val="22"/>
        </w:rPr>
        <w:t xml:space="preserve">global </w:t>
      </w:r>
      <w:r w:rsidRPr="00DD3983" w:rsidR="00144540">
        <w:rPr>
          <w:rFonts w:ascii="Arial" w:hAnsi="Arial" w:cs="Arial"/>
          <w:sz w:val="22"/>
          <w:szCs w:val="22"/>
        </w:rPr>
        <w:t xml:space="preserve">dementia cost estimates </w:t>
      </w:r>
      <w:r w:rsidRPr="00DD3983" w:rsidR="00DA019F">
        <w:rPr>
          <w:rFonts w:ascii="Arial" w:hAnsi="Arial" w:cs="Arial"/>
          <w:sz w:val="22"/>
          <w:szCs w:val="22"/>
        </w:rPr>
        <w:t xml:space="preserve">estimated to be 1.3 trillion annually with a </w:t>
      </w:r>
      <w:r w:rsidRPr="00DD3983" w:rsidR="00DF14F8">
        <w:rPr>
          <w:rFonts w:ascii="Arial" w:hAnsi="Arial" w:cs="Arial"/>
          <w:sz w:val="22"/>
          <w:szCs w:val="22"/>
        </w:rPr>
        <w:t xml:space="preserve">projected </w:t>
      </w:r>
      <w:r w:rsidRPr="00DD3983" w:rsidR="00125ABF">
        <w:rPr>
          <w:rFonts w:ascii="Arial" w:hAnsi="Arial" w:cs="Arial"/>
          <w:sz w:val="22"/>
          <w:szCs w:val="22"/>
        </w:rPr>
        <w:t>2-fold</w:t>
      </w:r>
      <w:r w:rsidRPr="00DD3983" w:rsidR="00DF14F8">
        <w:rPr>
          <w:rFonts w:ascii="Arial" w:hAnsi="Arial" w:cs="Arial"/>
          <w:sz w:val="22"/>
          <w:szCs w:val="22"/>
        </w:rPr>
        <w:t xml:space="preserve"> increase</w:t>
      </w:r>
      <w:r w:rsidRPr="00DD3983" w:rsidR="00125ABF">
        <w:rPr>
          <w:rFonts w:ascii="Arial" w:hAnsi="Arial" w:cs="Arial"/>
          <w:sz w:val="22"/>
          <w:szCs w:val="22"/>
        </w:rPr>
        <w:t xml:space="preserve"> by 2030</w:t>
      </w:r>
      <w:r w:rsidRPr="00DD3983" w:rsidR="00DF14F8">
        <w:rPr>
          <w:rFonts w:ascii="Arial" w:hAnsi="Arial" w:cs="Arial"/>
          <w:sz w:val="22"/>
          <w:szCs w:val="22"/>
        </w:rPr>
        <w:t>, o</w:t>
      </w:r>
      <w:r w:rsidRPr="00DD3983" w:rsidR="009A296E">
        <w:rPr>
          <w:rFonts w:ascii="Arial" w:hAnsi="Arial" w:cs="Arial"/>
          <w:sz w:val="22"/>
          <w:szCs w:val="22"/>
        </w:rPr>
        <w:t xml:space="preserve">ur findings </w:t>
      </w:r>
      <w:r w:rsidRPr="00DD3983" w:rsidR="00A73906">
        <w:rPr>
          <w:rFonts w:ascii="Arial" w:hAnsi="Arial" w:cs="Arial"/>
          <w:sz w:val="22"/>
          <w:szCs w:val="22"/>
        </w:rPr>
        <w:t xml:space="preserve">also </w:t>
      </w:r>
      <w:r w:rsidRPr="00DD3983" w:rsidR="009A296E">
        <w:rPr>
          <w:rFonts w:ascii="Arial" w:hAnsi="Arial" w:cs="Arial"/>
          <w:sz w:val="22"/>
          <w:szCs w:val="22"/>
        </w:rPr>
        <w:t>reinforce the economic imperative outlined by the World Alzheimer Report, which emphasizes cost-effectiveness given the rapidly escalating global dementia costs</w:t>
      </w:r>
      <w:r w:rsidR="00C77DC3">
        <w:rPr>
          <w:rFonts w:ascii="Arial" w:hAnsi="Arial" w:cs="Arial"/>
          <w:sz w:val="22"/>
          <w:szCs w:val="22"/>
        </w:rPr>
        <w:t>.</w:t>
      </w:r>
      <w:r w:rsidRPr="00DD3983" w:rsidR="00125ABF">
        <w:rPr>
          <w:rFonts w:ascii="Arial" w:hAnsi="Arial" w:cs="Arial"/>
          <w:sz w:val="22"/>
          <w:szCs w:val="22"/>
        </w:rPr>
        <w:fldChar w:fldCharType="begin"/>
      </w:r>
      <w:r w:rsidR="00025355">
        <w:rPr>
          <w:rFonts w:ascii="Arial" w:hAnsi="Arial" w:cs="Arial"/>
          <w:sz w:val="22"/>
          <w:szCs w:val="22"/>
        </w:rPr>
        <w:instrText xml:space="preserve"> ADDIN ZOTERO_ITEM CSL_CITATION {"citationID":"bDIE3qRl","properties":{"formattedCitation":"\\super 86\\nosupersub{}","plainCitation":"86","noteIndex":0},"citationItems":[{"id":2036,"uris":["http://zotero.org/users/10927406/items/SHWCTLY2"],"itemData":{"id":2036,"type":"article-journal","abstract":"The World Alzheimer Report 2021 includes over 50 essays from leading experts from around the world and is supported by findings from 3 key global surveys, which received responses from 1,111 clinicians, 2,325 people with dementia and carers, and over 100 national Alzheimer and dementia associations.","language":"en","source":"www.alzint.org","title":"World Alzheimer Report 2021: Journey through the diagnosis of dementia","title-short":"World Alzheimer Report 2021","URL":"https://www.alzint.org/resource/world-alzheimer-report-2021/","author":[{"family":"International","given":"Alzheimer's Disease"},{"family":"University","given":"McGill"}],"accessed":{"date-parts":[["2025",3,24]]},"issued":{"date-parts":[["2021",9,21]]}}}],"schema":"https://github.com/citation-style-language/schema/raw/master/csl-citation.json"} </w:instrText>
      </w:r>
      <w:r w:rsidRPr="00DD3983" w:rsidR="00125ABF">
        <w:rPr>
          <w:rFonts w:ascii="Arial" w:hAnsi="Arial" w:cs="Arial"/>
          <w:sz w:val="22"/>
          <w:szCs w:val="22"/>
        </w:rPr>
        <w:fldChar w:fldCharType="separate"/>
      </w:r>
      <w:r w:rsidRPr="00025355" w:rsidR="00025355">
        <w:rPr>
          <w:rFonts w:ascii="Arial" w:hAnsi="Arial" w:cs="Arial"/>
          <w:kern w:val="0"/>
          <w:sz w:val="22"/>
          <w:vertAlign w:val="superscript"/>
        </w:rPr>
        <w:t>86</w:t>
      </w:r>
      <w:r w:rsidRPr="00DD3983" w:rsidR="00125ABF">
        <w:rPr>
          <w:rFonts w:ascii="Arial" w:hAnsi="Arial" w:cs="Arial"/>
          <w:sz w:val="22"/>
          <w:szCs w:val="22"/>
        </w:rPr>
        <w:fldChar w:fldCharType="end"/>
      </w:r>
      <w:r w:rsidRPr="00DD3983" w:rsidR="009A296E">
        <w:rPr>
          <w:rFonts w:ascii="Arial" w:hAnsi="Arial" w:cs="Arial"/>
          <w:sz w:val="22"/>
          <w:szCs w:val="22"/>
        </w:rPr>
        <w:t xml:space="preserve"> While </w:t>
      </w:r>
      <w:r w:rsidRPr="00DD3983" w:rsidR="00A73906">
        <w:rPr>
          <w:rFonts w:ascii="Arial" w:hAnsi="Arial" w:cs="Arial"/>
          <w:sz w:val="22"/>
          <w:szCs w:val="22"/>
        </w:rPr>
        <w:t xml:space="preserve">we </w:t>
      </w:r>
      <w:r w:rsidRPr="00DD3983" w:rsidR="009A296E">
        <w:rPr>
          <w:rFonts w:ascii="Arial" w:hAnsi="Arial" w:cs="Arial"/>
          <w:sz w:val="22"/>
          <w:szCs w:val="22"/>
        </w:rPr>
        <w:t xml:space="preserve">consistently identified financial constraints as key barriers, </w:t>
      </w:r>
      <w:r w:rsidRPr="00DD3983" w:rsidR="00A73906">
        <w:rPr>
          <w:rFonts w:ascii="Arial" w:hAnsi="Arial" w:cs="Arial"/>
          <w:sz w:val="22"/>
          <w:szCs w:val="22"/>
        </w:rPr>
        <w:t>emerging</w:t>
      </w:r>
      <w:r w:rsidRPr="00DD3983" w:rsidR="009A296E">
        <w:rPr>
          <w:rFonts w:ascii="Arial" w:hAnsi="Arial" w:cs="Arial"/>
          <w:sz w:val="22"/>
          <w:szCs w:val="22"/>
        </w:rPr>
        <w:t xml:space="preserve"> evidence indicates </w:t>
      </w:r>
      <w:r w:rsidRPr="00DD3983" w:rsidR="00A73906">
        <w:rPr>
          <w:rFonts w:ascii="Arial" w:hAnsi="Arial" w:cs="Arial"/>
          <w:sz w:val="22"/>
          <w:szCs w:val="22"/>
        </w:rPr>
        <w:t xml:space="preserve">the </w:t>
      </w:r>
      <w:r w:rsidRPr="00DD3983" w:rsidR="009A296E">
        <w:rPr>
          <w:rFonts w:ascii="Arial" w:hAnsi="Arial" w:cs="Arial"/>
          <w:sz w:val="22"/>
          <w:szCs w:val="22"/>
        </w:rPr>
        <w:t xml:space="preserve">substantial cost-savings through investments in early AD diagnosis and intervention. </w:t>
      </w:r>
      <w:r w:rsidRPr="00DD3983" w:rsidR="008F4BFC">
        <w:rPr>
          <w:rFonts w:ascii="Arial" w:hAnsi="Arial" w:cs="Arial"/>
          <w:sz w:val="22"/>
          <w:szCs w:val="22"/>
        </w:rPr>
        <w:t xml:space="preserve">Potential savings </w:t>
      </w:r>
      <w:r w:rsidRPr="00DD3983" w:rsidR="00182385">
        <w:rPr>
          <w:rFonts w:ascii="Arial" w:hAnsi="Arial" w:cs="Arial"/>
          <w:sz w:val="22"/>
          <w:szCs w:val="22"/>
        </w:rPr>
        <w:t xml:space="preserve">are </w:t>
      </w:r>
      <w:r w:rsidRPr="00DD3983" w:rsidR="00A73906">
        <w:rPr>
          <w:rFonts w:ascii="Arial" w:hAnsi="Arial" w:cs="Arial"/>
          <w:sz w:val="22"/>
          <w:szCs w:val="22"/>
        </w:rPr>
        <w:t>immense</w:t>
      </w:r>
      <w:r w:rsidRPr="00DD3983" w:rsidR="00182385">
        <w:rPr>
          <w:rFonts w:ascii="Arial" w:hAnsi="Arial" w:cs="Arial"/>
          <w:sz w:val="22"/>
          <w:szCs w:val="22"/>
        </w:rPr>
        <w:t xml:space="preserve">, </w:t>
      </w:r>
      <w:r w:rsidRPr="00DD3983" w:rsidR="009A296E">
        <w:rPr>
          <w:rFonts w:ascii="Arial" w:hAnsi="Arial" w:cs="Arial"/>
          <w:sz w:val="22"/>
          <w:szCs w:val="22"/>
        </w:rPr>
        <w:t xml:space="preserve">such as lifetime care costs reduced by up </w:t>
      </w:r>
      <w:r w:rsidRPr="00DD3983" w:rsidR="005A1BCD">
        <w:rPr>
          <w:rFonts w:ascii="Arial" w:hAnsi="Arial" w:cs="Arial"/>
          <w:sz w:val="22"/>
          <w:szCs w:val="22"/>
        </w:rPr>
        <w:t xml:space="preserve">by £8,800 and £44,900 </w:t>
      </w:r>
      <w:r w:rsidRPr="00DD3983" w:rsidR="009A296E">
        <w:rPr>
          <w:rFonts w:ascii="Arial" w:hAnsi="Arial" w:cs="Arial"/>
          <w:sz w:val="22"/>
          <w:szCs w:val="22"/>
        </w:rPr>
        <w:t>per individual</w:t>
      </w:r>
      <w:r w:rsidR="000B3487">
        <w:rPr>
          <w:rFonts w:ascii="Arial" w:hAnsi="Arial" w:cs="Arial"/>
          <w:sz w:val="22"/>
          <w:szCs w:val="22"/>
        </w:rPr>
        <w:t xml:space="preserve"> in the UK</w:t>
      </w:r>
      <w:r w:rsidRPr="00DD3983" w:rsidR="009A296E">
        <w:rPr>
          <w:rFonts w:ascii="Arial" w:hAnsi="Arial" w:cs="Arial"/>
          <w:sz w:val="22"/>
          <w:szCs w:val="22"/>
        </w:rPr>
        <w:t xml:space="preserve"> when intervention begins at the </w:t>
      </w:r>
      <w:r w:rsidR="00891BAA">
        <w:rPr>
          <w:rFonts w:ascii="Arial" w:hAnsi="Arial" w:cs="Arial"/>
          <w:sz w:val="22"/>
          <w:szCs w:val="22"/>
        </w:rPr>
        <w:t xml:space="preserve">MCI </w:t>
      </w:r>
      <w:r w:rsidRPr="00DD3983" w:rsidR="009A296E">
        <w:rPr>
          <w:rFonts w:ascii="Arial" w:hAnsi="Arial" w:cs="Arial"/>
          <w:sz w:val="22"/>
          <w:szCs w:val="22"/>
        </w:rPr>
        <w:t>stage</w:t>
      </w:r>
      <w:r w:rsidR="00C77DC3">
        <w:rPr>
          <w:rFonts w:ascii="Arial" w:hAnsi="Arial" w:cs="Arial"/>
          <w:sz w:val="22"/>
          <w:szCs w:val="22"/>
        </w:rPr>
        <w:t>.</w:t>
      </w:r>
      <w:r w:rsidRPr="00DD3983" w:rsidR="002F4CB3">
        <w:rPr>
          <w:rFonts w:ascii="Arial" w:hAnsi="Arial" w:cs="Arial"/>
          <w:sz w:val="22"/>
          <w:szCs w:val="22"/>
        </w:rPr>
        <w:fldChar w:fldCharType="begin"/>
      </w:r>
      <w:r w:rsidR="00025355">
        <w:rPr>
          <w:rFonts w:ascii="Arial" w:hAnsi="Arial" w:cs="Arial"/>
          <w:sz w:val="22"/>
          <w:szCs w:val="22"/>
        </w:rPr>
        <w:instrText xml:space="preserve"> ADDIN ZOTERO_ITEM CSL_CITATION {"citationID":"5DIlv8TE","properties":{"formattedCitation":"\\super 87\\nosupersub{}","plainCitation":"87","noteIndex":0},"citationItems":[{"id":2035,"uris":["http://zotero.org/users/10927406/items/FH8YJPBD"],"itemData":{"id":2035,"type":"report","language":"EN","title":"Modelling the impacts of early diagnosis of dementia in the UK","URL":"https://www.alzheimers.org.uk/sites/default/files/2024-09/Modelling-impacts-early-diagnosis.pdf","author":[{"family":"Alzheimer's Society","given":""}],"issued":{"date-parts":[["2024",9]]}}}],"schema":"https://github.com/citation-style-language/schema/raw/master/csl-citation.json"} </w:instrText>
      </w:r>
      <w:r w:rsidRPr="00DD3983" w:rsidR="002F4CB3">
        <w:rPr>
          <w:rFonts w:ascii="Arial" w:hAnsi="Arial" w:cs="Arial"/>
          <w:sz w:val="22"/>
          <w:szCs w:val="22"/>
        </w:rPr>
        <w:fldChar w:fldCharType="separate"/>
      </w:r>
      <w:r w:rsidRPr="00025355" w:rsidR="00025355">
        <w:rPr>
          <w:rFonts w:ascii="Arial" w:hAnsi="Arial" w:cs="Arial"/>
          <w:kern w:val="0"/>
          <w:sz w:val="22"/>
          <w:vertAlign w:val="superscript"/>
        </w:rPr>
        <w:t>87</w:t>
      </w:r>
      <w:r w:rsidRPr="00DD3983" w:rsidR="002F4CB3">
        <w:rPr>
          <w:rFonts w:ascii="Arial" w:hAnsi="Arial" w:cs="Arial"/>
          <w:sz w:val="22"/>
          <w:szCs w:val="22"/>
        </w:rPr>
        <w:fldChar w:fldCharType="end"/>
      </w:r>
      <w:r w:rsidRPr="00DD3983" w:rsidR="009A296E">
        <w:rPr>
          <w:rFonts w:ascii="Arial" w:hAnsi="Arial" w:cs="Arial"/>
          <w:sz w:val="22"/>
          <w:szCs w:val="22"/>
        </w:rPr>
        <w:t xml:space="preserve"> </w:t>
      </w:r>
      <w:r w:rsidR="000B3487">
        <w:rPr>
          <w:rFonts w:ascii="Arial" w:hAnsi="Arial" w:cs="Arial"/>
          <w:sz w:val="22"/>
          <w:szCs w:val="22"/>
        </w:rPr>
        <w:t>Likewise in the United States, i</w:t>
      </w:r>
      <w:r w:rsidRPr="000B5E07" w:rsidR="000B5E07">
        <w:rPr>
          <w:rFonts w:ascii="Arial" w:hAnsi="Arial" w:cs="Arial"/>
          <w:sz w:val="22"/>
          <w:szCs w:val="22"/>
        </w:rPr>
        <w:t xml:space="preserve">ndividuals who progressed from MCI to </w:t>
      </w:r>
      <w:r w:rsidR="00C37262">
        <w:rPr>
          <w:rFonts w:ascii="Arial" w:hAnsi="Arial" w:cs="Arial"/>
          <w:sz w:val="22"/>
          <w:szCs w:val="22"/>
        </w:rPr>
        <w:t xml:space="preserve">AD </w:t>
      </w:r>
      <w:r w:rsidRPr="000B5E07" w:rsidR="000B5E07">
        <w:rPr>
          <w:rFonts w:ascii="Arial" w:hAnsi="Arial" w:cs="Arial"/>
          <w:sz w:val="22"/>
          <w:szCs w:val="22"/>
        </w:rPr>
        <w:t xml:space="preserve">and </w:t>
      </w:r>
      <w:r w:rsidR="00C37262">
        <w:rPr>
          <w:rFonts w:ascii="Arial" w:hAnsi="Arial" w:cs="Arial"/>
          <w:sz w:val="22"/>
          <w:szCs w:val="22"/>
        </w:rPr>
        <w:t>other</w:t>
      </w:r>
      <w:r w:rsidRPr="000B5E07" w:rsidR="000B5E07">
        <w:rPr>
          <w:rFonts w:ascii="Arial" w:hAnsi="Arial" w:cs="Arial"/>
          <w:sz w:val="22"/>
          <w:szCs w:val="22"/>
        </w:rPr>
        <w:t xml:space="preserve"> related dementia disorder had significantly higher healthcare costs than those with stable MCI</w:t>
      </w:r>
      <w:r w:rsidR="008864D2">
        <w:rPr>
          <w:rFonts w:ascii="Arial" w:hAnsi="Arial" w:cs="Arial"/>
          <w:sz w:val="22"/>
          <w:szCs w:val="22"/>
        </w:rPr>
        <w:t xml:space="preserve"> with</w:t>
      </w:r>
      <w:r w:rsidRPr="000B5E07" w:rsidR="000B5E07">
        <w:rPr>
          <w:rFonts w:ascii="Arial" w:hAnsi="Arial" w:cs="Arial"/>
          <w:sz w:val="22"/>
          <w:szCs w:val="22"/>
        </w:rPr>
        <w:t xml:space="preserve"> adjusted all-cause mean total costs </w:t>
      </w:r>
      <w:r w:rsidR="008864D2">
        <w:rPr>
          <w:rFonts w:ascii="Arial" w:hAnsi="Arial" w:cs="Arial"/>
          <w:sz w:val="22"/>
          <w:szCs w:val="22"/>
        </w:rPr>
        <w:t>being</w:t>
      </w:r>
      <w:r w:rsidRPr="000B5E07" w:rsidR="000B5E07">
        <w:rPr>
          <w:rFonts w:ascii="Arial" w:hAnsi="Arial" w:cs="Arial"/>
          <w:sz w:val="22"/>
          <w:szCs w:val="22"/>
        </w:rPr>
        <w:t xml:space="preserve"> 41% higher ($34,599 vs. $24,541)</w:t>
      </w:r>
      <w:r w:rsidR="00C77DC3">
        <w:rPr>
          <w:rFonts w:ascii="Arial" w:hAnsi="Arial" w:cs="Arial"/>
          <w:sz w:val="22"/>
          <w:szCs w:val="22"/>
        </w:rPr>
        <w:t>.</w:t>
      </w:r>
      <w:r w:rsidR="00CE7207">
        <w:rPr>
          <w:rFonts w:ascii="Arial" w:hAnsi="Arial" w:cs="Arial"/>
          <w:sz w:val="22"/>
          <w:szCs w:val="22"/>
        </w:rPr>
        <w:fldChar w:fldCharType="begin"/>
      </w:r>
      <w:r w:rsidR="00025355">
        <w:rPr>
          <w:rFonts w:ascii="Arial" w:hAnsi="Arial" w:cs="Arial"/>
          <w:sz w:val="22"/>
          <w:szCs w:val="22"/>
        </w:rPr>
        <w:instrText xml:space="preserve"> ADDIN ZOTERO_ITEM CSL_CITATION {"citationID":"yi8MV43c","properties":{"formattedCitation":"\\super 88\\nosupersub{}","plainCitation":"88","noteIndex":0},"citationItems":[{"id":2047,"uris":["http://zotero.org/users/10927406/items/W7TR5CC6"],"itemData":{"id":2047,"type":"article-journal","abstract":"Background\nLimited evidence exists on the economic burden of individuals who progress from mild cognitive impairment (MCI) to Alzheimer disease and related dementia disorders (ADRD).\nObjectives\nTo assess the all-cause health care resource utilization and costs for individuals who develop ADRD following an MCI diagnosis compared to those with stable MCI.\nDesign\nThis was a retrospective cohort study from January 01, 2014, to December 31, 2019.\nSetting\nThe Merative MarketScan Commercial and Medicare Databases were used.\nParticipants\nIndividuals were included if they: (1) were aged 50 years or older; (2) had ≥1 claim with an MCI diagnosis based on the International Classification of Diseases, Ninth Revision (ICD-9) code of 331.83 or the Tenth Revision (ICD-10) code of G31.84; and had continuous enrollment. Individuals were excluded if they had a diagnosis of Parkinson's disease or ADRD or prescription of ADRD medication.\nMeasurements\nOutcomes included all-cause utilization and costs per patient per year in the first 12 months following MCI diagnosis, in total and by care setting: inpatient admissions, emergency department (ED) visits, outpatient visits, and pharmacy claims.\nResults\nOut of the total of 5185 included individuals, 1962 (37.8%) progressed to ADRD (MCI-to-ADRD subgroup) and 3223 (62.2%) did not (Stable MCI subgroup). Adjusted all-cause utilization was higher for all care settings in the MCI-to-ADRD subgroup compared with the Stable MCI subgroup. Adjusted all-cause mean total costs ($34599 vs $24541; mean ratio [MR], 1.41 [95% CI, 1.31–1.51]; P&lt;.001), inpatient costs ($47463 vs $38004; MR, 1.25 [95% CI, 1.08–1.44]; P=.002), ED costs ($4875 vs $3863; MR, 1.26 [95% CI, 1.11–1.43]; P&lt;.001), and outpatient costs ($16652 vs $13015; MR, 1.28 [95% CI, 1.20–1.37]; P&lt;.001) were all significantly higher for the MCI-to-ADRD subgroup compared with the Stable MCI subgroup.\nConclusions\nIndividuals who progressed from MCI to ADRD had significantly higher health care costs than individuals with stable MCI. Early identification of MCI and delaying its progression is important to improve patient and economic outcomes.","container-title":"The Journal of Prevention of Alzheimer's Disease","DOI":"10.14283/jpad.2024.68","ISSN":"2274-5807","issue":"4","journalAbbreviation":"The Journal of Prevention of Alzheimer's Disease","page":"983-991","source":"ScienceDirect","title":"Economic Impact of Progression from Mild Cognitive Impairment to Alzheimer Disease in the United States","volume":"11","author":[{"family":"Frech","given":"Feride H."},{"family":"Li","given":"G."},{"family":"Juday","given":"T."},{"family":"Ding","given":"Y."},{"family":"Mattke","given":"S."},{"family":"Khachaturian","given":"A."},{"family":"Rosenberg","given":"A. S."},{"family":"Ndiba-Markey","given":"C."},{"family":"Rava","given":"A."},{"family":"Batrla","given":"R."},{"family":"De Santi","given":"S."},{"family":"Hampel","given":"H."}],"issued":{"date-parts":[["2024",8,1]]}}}],"schema":"https://github.com/citation-style-language/schema/raw/master/csl-citation.json"} </w:instrText>
      </w:r>
      <w:r w:rsidR="00CE7207">
        <w:rPr>
          <w:rFonts w:ascii="Arial" w:hAnsi="Arial" w:cs="Arial"/>
          <w:sz w:val="22"/>
          <w:szCs w:val="22"/>
        </w:rPr>
        <w:fldChar w:fldCharType="separate"/>
      </w:r>
      <w:r w:rsidRPr="00025355" w:rsidR="00025355">
        <w:rPr>
          <w:rFonts w:ascii="Arial" w:hAnsi="Arial" w:cs="Arial"/>
          <w:kern w:val="0"/>
          <w:sz w:val="22"/>
          <w:vertAlign w:val="superscript"/>
        </w:rPr>
        <w:t>88</w:t>
      </w:r>
      <w:r w:rsidR="00CE7207">
        <w:rPr>
          <w:rFonts w:ascii="Arial" w:hAnsi="Arial" w:cs="Arial"/>
          <w:sz w:val="22"/>
          <w:szCs w:val="22"/>
        </w:rPr>
        <w:fldChar w:fldCharType="end"/>
      </w:r>
      <w:r w:rsidR="000B5E07">
        <w:rPr>
          <w:rFonts w:ascii="Arial" w:hAnsi="Arial" w:cs="Arial"/>
          <w:sz w:val="22"/>
          <w:szCs w:val="22"/>
        </w:rPr>
        <w:t xml:space="preserve"> </w:t>
      </w:r>
      <w:r w:rsidRPr="00DD3983" w:rsidR="009A296E">
        <w:rPr>
          <w:rFonts w:ascii="Arial" w:hAnsi="Arial" w:cs="Arial"/>
          <w:sz w:val="22"/>
          <w:szCs w:val="22"/>
        </w:rPr>
        <w:t>Additionally, indirect economic burdens</w:t>
      </w:r>
      <w:r w:rsidRPr="00DD3983" w:rsidR="00A860ED">
        <w:rPr>
          <w:rFonts w:ascii="Arial" w:hAnsi="Arial" w:cs="Arial"/>
          <w:sz w:val="22"/>
          <w:szCs w:val="22"/>
        </w:rPr>
        <w:t xml:space="preserve"> are immense. T</w:t>
      </w:r>
      <w:r w:rsidRPr="00DD3983" w:rsidR="000B5B7D">
        <w:rPr>
          <w:rFonts w:ascii="Arial" w:hAnsi="Arial" w:cs="Arial"/>
          <w:sz w:val="22"/>
          <w:szCs w:val="22"/>
        </w:rPr>
        <w:t>he total annual indirect cost of AD was estimated at $832 billion, which includes an estimated $599 billion in unpaid caregiving costs and $233 billion in productivity losses</w:t>
      </w:r>
      <w:r w:rsidR="00C77DC3">
        <w:rPr>
          <w:rFonts w:ascii="Arial" w:hAnsi="Arial" w:cs="Arial"/>
          <w:sz w:val="22"/>
          <w:szCs w:val="22"/>
        </w:rPr>
        <w:t>.</w:t>
      </w:r>
      <w:r w:rsidRPr="00DD3983" w:rsidR="00A860ED">
        <w:rPr>
          <w:rFonts w:ascii="Arial" w:hAnsi="Arial" w:cs="Arial"/>
          <w:sz w:val="22"/>
          <w:szCs w:val="22"/>
        </w:rPr>
        <w:fldChar w:fldCharType="begin"/>
      </w:r>
      <w:r w:rsidR="00025355">
        <w:rPr>
          <w:rFonts w:ascii="Arial" w:hAnsi="Arial" w:cs="Arial"/>
          <w:sz w:val="22"/>
          <w:szCs w:val="22"/>
        </w:rPr>
        <w:instrText xml:space="preserve"> ADDIN ZOTERO_ITEM CSL_CITATION {"citationID":"DlfRzWEC","properties":{"formattedCitation":"\\super 89\\nosupersub{}","plainCitation":"89","noteIndex":0},"citationItems":[{"id":2034,"uris":["http://zotero.org/users/10927406/items/6DXQI9DG"],"itemData":{"id":2034,"type":"article-journal","abstract":"Objectives\nThe direct medical costs associated with Alzheimer’s disease (AD) in the United States have been estimated to be over $360 billion USD, but this value does not reflect the substantial financial burden on unpaid caregivers and society. We estimated the economic burden of unpaid caregivers and patient productivity loss because of AD across all disease severity stages to better understand the indirect impacts of AD.\nMethods\nWe performed a narrative literature review to identify estimates of unpaid caregiver burden and market productivity loss. In addition, we leveraged a published algorithm to estimate non-market productivity loss because of AD. Patient-level estimates were scaled to the population on the basis of AD prevalence in the United States (approximately 12.5 million), weighted by disease severity.\nResults\nThe total annual indirect costs of unpaid caregiving and market and non-market productivity loss of AD increased with severity: $36 934 for mild cognitive impairment owing to AD, $65 565 for mild AD, $103 717 for moderate AD, and $145 250 for severe AD (2024 United States Dollars [USD]). Considering the current distribution of prevalent patients across severity stages, the total annual indirect cost was estimated at $832 billion, which includes $599 billion in unpaid caregiving costs and $233 billion in productivity losses.\nConclusions\nConventional cost estimates, which do not consider unpaid caregiver burden and patient productivity loss, significantly underestimate the total burden of AD. Both elements should be incorporated into cost estimates and value assessments to best capture the total indirect impact of AD and the value of new therapies.","container-title":"Value in Health","DOI":"10.1016/j.jval.2024.10.3851","ISSN":"1098-3015","journalAbbreviation":"Value in Health","source":"ScienceDirect","title":"Indirect Costs of Alzheimer’s Disease: Unpaid Caregiver Burden and Patient Productivity Loss","title-short":"Indirect Costs of Alzheimer’s Disease","URL":"https://www.sciencedirect.com/science/article/pii/S1098301524067597","author":[{"family":"Fox","given":"Julia"},{"family":"Mearns","given":"Elizabeth S."},{"family":"Li","given":"Jing"},{"family":"Rosettie","given":"Katherine L."},{"family":"Majda","given":"Thomas"},{"family":"Lin","given":"Helen"},{"family":"Kowal","given":"Stacey L."}],"accessed":{"date-parts":[["2025",3,24]]},"issued":{"date-parts":[["2024",11,19]]}}}],"schema":"https://github.com/citation-style-language/schema/raw/master/csl-citation.json"} </w:instrText>
      </w:r>
      <w:r w:rsidRPr="00DD3983" w:rsidR="00A860ED">
        <w:rPr>
          <w:rFonts w:ascii="Arial" w:hAnsi="Arial" w:cs="Arial"/>
          <w:sz w:val="22"/>
          <w:szCs w:val="22"/>
        </w:rPr>
        <w:fldChar w:fldCharType="separate"/>
      </w:r>
      <w:r w:rsidRPr="00025355" w:rsidR="00025355">
        <w:rPr>
          <w:rFonts w:ascii="Arial" w:hAnsi="Arial" w:cs="Arial"/>
          <w:kern w:val="0"/>
          <w:sz w:val="22"/>
          <w:vertAlign w:val="superscript"/>
        </w:rPr>
        <w:t>89</w:t>
      </w:r>
      <w:r w:rsidRPr="00DD3983" w:rsidR="00A860ED">
        <w:rPr>
          <w:rFonts w:ascii="Arial" w:hAnsi="Arial" w:cs="Arial"/>
          <w:sz w:val="22"/>
          <w:szCs w:val="22"/>
        </w:rPr>
        <w:fldChar w:fldCharType="end"/>
      </w:r>
      <w:r w:rsidRPr="00DD3983" w:rsidR="009A296E">
        <w:rPr>
          <w:rFonts w:ascii="Arial" w:hAnsi="Arial" w:cs="Arial"/>
          <w:sz w:val="22"/>
          <w:szCs w:val="22"/>
        </w:rPr>
        <w:t xml:space="preserve"> </w:t>
      </w:r>
      <w:r w:rsidR="00AA37E8">
        <w:rPr>
          <w:rFonts w:ascii="Arial" w:hAnsi="Arial" w:cs="Arial"/>
          <w:sz w:val="22"/>
          <w:szCs w:val="22"/>
        </w:rPr>
        <w:t>The investment into early AD diagnosis,</w:t>
      </w:r>
      <w:r w:rsidR="00AA0121">
        <w:rPr>
          <w:rFonts w:ascii="Arial" w:hAnsi="Arial" w:cs="Arial"/>
          <w:sz w:val="22"/>
          <w:szCs w:val="22"/>
        </w:rPr>
        <w:t xml:space="preserve"> not only provides cost benefits, but also makes room for future therapies. Most treatments work best when administered early in the AD continuum</w:t>
      </w:r>
      <w:r w:rsidR="00C51273">
        <w:rPr>
          <w:rFonts w:ascii="Arial" w:hAnsi="Arial" w:cs="Arial"/>
          <w:sz w:val="22"/>
          <w:szCs w:val="22"/>
        </w:rPr>
        <w:t xml:space="preserve">, thus it naturally follows that for adequate uptake of future treatments there </w:t>
      </w:r>
      <w:r w:rsidR="001259F2">
        <w:rPr>
          <w:rFonts w:ascii="Arial" w:hAnsi="Arial" w:cs="Arial"/>
          <w:sz w:val="22"/>
          <w:szCs w:val="22"/>
        </w:rPr>
        <w:t>remains</w:t>
      </w:r>
      <w:r w:rsidR="00C51273">
        <w:rPr>
          <w:rFonts w:ascii="Arial" w:hAnsi="Arial" w:cs="Arial"/>
          <w:sz w:val="22"/>
          <w:szCs w:val="22"/>
        </w:rPr>
        <w:t xml:space="preserve"> a </w:t>
      </w:r>
      <w:r w:rsidR="001259F2">
        <w:rPr>
          <w:rFonts w:ascii="Arial" w:hAnsi="Arial" w:cs="Arial"/>
          <w:sz w:val="22"/>
          <w:szCs w:val="22"/>
        </w:rPr>
        <w:t xml:space="preserve">significant </w:t>
      </w:r>
      <w:r w:rsidR="00C51273">
        <w:rPr>
          <w:rFonts w:ascii="Arial" w:hAnsi="Arial" w:cs="Arial"/>
          <w:sz w:val="22"/>
          <w:szCs w:val="22"/>
        </w:rPr>
        <w:t xml:space="preserve">reliance on </w:t>
      </w:r>
      <w:r w:rsidR="003E1F26">
        <w:rPr>
          <w:rFonts w:ascii="Arial" w:hAnsi="Arial" w:cs="Arial"/>
          <w:sz w:val="22"/>
          <w:szCs w:val="22"/>
        </w:rPr>
        <w:t>an efficient and sustainable pathway</w:t>
      </w:r>
      <w:r w:rsidR="00D24D48">
        <w:rPr>
          <w:rFonts w:ascii="Arial" w:hAnsi="Arial" w:cs="Arial"/>
          <w:sz w:val="22"/>
          <w:szCs w:val="22"/>
        </w:rPr>
        <w:t xml:space="preserve"> that enables early diagnosis</w:t>
      </w:r>
      <w:r w:rsidR="00C77DC3">
        <w:rPr>
          <w:rFonts w:ascii="Arial" w:hAnsi="Arial" w:cs="Arial"/>
          <w:sz w:val="22"/>
          <w:szCs w:val="22"/>
        </w:rPr>
        <w:t>.</w:t>
      </w:r>
      <w:r w:rsidR="00084458">
        <w:rPr>
          <w:rFonts w:ascii="Arial" w:hAnsi="Arial" w:cs="Arial"/>
          <w:sz w:val="22"/>
          <w:szCs w:val="22"/>
        </w:rPr>
        <w:fldChar w:fldCharType="begin"/>
      </w:r>
      <w:r w:rsidR="00025355">
        <w:rPr>
          <w:rFonts w:ascii="Arial" w:hAnsi="Arial" w:cs="Arial"/>
          <w:sz w:val="22"/>
          <w:szCs w:val="22"/>
        </w:rPr>
        <w:instrText xml:space="preserve"> ADDIN ZOTERO_ITEM CSL_CITATION {"citationID":"xk8mlh6m","properties":{"formattedCitation":"\\super 90\\uc0\\u8211{}92\\nosupersub{}","plainCitation":"90–92","noteIndex":0},"citationItems":[{"id":2053,"uris":["http://zotero.org/users/10927406/items/Z7XBYTUF"],"itemData":{"id":2053,"type":"article-journal","abstract":"As disease-modifying Alzheimer’s (AD) treatments are becoming available, concerns have been raised that even high-income countries lack the diagnostic capacity to accurately identify eligible patients in a timely manner.","container-title":"The Journal of Prevention of Alzheimer's Disease","DOI":"10.14283/jpad.2024.24","ISSN":"2426-0266","issue":"4","journalAbbreviation":"J Prev Alzheimers Dis","language":"en","page":"1022-1029","source":"Springer Link","title":"Estimated Investment Need to Increase England’s Capacity to Diagnose Eligibility for an Alzheimer’s Treatment to G7 Average Capacity Levels","volume":"11","author":[{"family":"Mattke","given":"Soeren"},{"family":"Shi","given":"Z."},{"family":"Hanson","given":"M."},{"family":"Mitchell","given":"S."},{"family":"Lynch","given":"C."},{"family":"MacLean Kalonji","given":"K."},{"family":"Lanman","given":"L."}],"issued":{"date-parts":[["2024",8,1]]}}},{"id":2050,"uris":["http://zotero.org/users/10927406/items/LZEEC8LC"],"itemData":{"id":2050,"type":"article-journal","abstract":"Disease-modifying pharmacotherapies for Alzheimer's Disease (AD) are currently in late-stage clinical development; once approved, new healthcare infrastructures and services, including primary healthcare, will be necessary to accommodate a huge demand for early and large-scale detection of AD. The increasing global accessibility of digital consumer electronics has opened up new prospects for early diagnosis and management of mild cognitive impairment (MCI) with particular regard to AD. This new wave of innovation has spurred research in both academia and industry, aimed at developing and validating a new “digital generation” of tools for the assessment of the cognitive performance. In light of this paradigm shift, an international working group (the Global Advisory Group on Future MCI Care Pathways) convened to elaborate on how digital tools may be optimally integrated in screening-diagnostic pathways of AD The working group developed consensus perspectives on new algorithms for large-scale screening, detection, and diagnosis of individuals with MCI within primary medical care delivery. In addition, the expert panel addressed operational aspects concerning the implementation of unsupervised at-home testing of cognitive performance. The ultimate intent of the working group's consensus perspectives is to provide guidance to developers of cognitive tests and tools to facilitate the transition toward globally accessible cognitive screening aimed at the early detection, diagnosis, and management of MCI due to AD.","container-title":"The Journal of Prevention of Alzheimer's Disease","DOI":"10.14283/jpad.2020.19","ISSN":"2274-5807","issue":"3","journalAbbreviation":"The Journal of Prevention of Alzheimer's Disease","page":"158-164","source":"ScienceDirect","title":"Rationale for Early Diagnosis of Mild Cognitive Impairment (MCI) supported by Emerging Digital Technologies","volume":"7","author":[{"family":"Sabbagh","given":"Marwan N."},{"family":"Boada","given":"M."},{"family":"Borson","given":"S."},{"family":"Chilukuri","given":"M."},{"family":"Doraiswamy","given":"P. M."},{"family":"Dubois","given":"B."},{"family":"Ingram","given":"J."},{"family":"Iwata","given":"A."},{"family":"Porsteinsson","given":"A. P."},{"family":"Possin","given":"K. L."},{"family":"Rabinovici","given":"G. D."},{"family":"Vellas","given":"B."},{"family":"Chao","given":"S."},{"family":"Vergallo","given":"A."},{"family":"Hampel","given":"H."}],"issued":{"date-parts":[["2020",6,1]]}}},{"id":2055,"uris":["http://zotero.org/users/10927406/items/Y6Z9VTDJ"],"itemData":{"id":2055,"type":"article-journal","abstract":"Introduction We estimated the cost effectiveness of different cognitive screening tests for use by General Practitioners (GPs) to detect cognitive impairment in England. Methods A patient-level cost-effectiveness model was developed using a simulated cohort that represents the elderly population in England (65 years and older). Each patient was followed over a lifetime period. Data from published sources were used to populate the model. The costs include government funded health and social care, private social care and informal care. Patient health benefit was measured and valued in Quality Adjusted Life Years (QALYs). Results Base-case analyses found that adopting any of the three cognitive tests (Mini-Mental State Examination, 6-Item Cognitive Impairment Test or GPCOG (General Practitioner Assessment of Cognition)) delivered more QALYs for patients over their lifetime and made savings across sectors including healthcare, social care and informal care compared with GP unassisted judgement. The benefits were due to early access to medications. Among the three cognitive tests, adopting the GPCOG was considered the most cost-effective option with the highest Incremental Net Benefit (INB) at the threshold of £30 000 per QALY from both the National Health Service and Personal Social Service (NHS PSS) perspective (£195 034 per 1000 patients) and the broader perspective that includes private social care and informal care (£196 251 per 1000 patients). Uncertainty was assessed in both deterministic and probabilistic sensitivity analyses. Conclusions Our analyses indicate that the use of any of the three cognitive tests could be considered a cost-effective strategy compared with GP unassisted judgement. The most cost-effective option in the base-case was the GPCOG. Copyright © 2016 John Wiley &amp; Sons, Ltd.","container-title":"International Journal of Geriatric Psychiatry","DOI":"10.1002/gps.4626","ISSN":"1099-1166","issue":"12","language":"en","license":"Copyright © 2016 John Wiley &amp; Sons, Ltd.","note":"_eprint: https://onlinelibrary.wiley.com/doi/pdf/10.1002/gps.4626","page":"1392-1400","source":"Wiley Online Library","title":"Cost effectiveness of using cognitive screening tests for detecting dementia and mild cognitive impairment in primary care","volume":"32","author":[{"family":"Tong","given":"Thaison"},{"family":"Thokala","given":"Praveen"},{"family":"McMillan","given":"Brian"},{"family":"Ghosh","given":"Rob"},{"family":"Brazier","given":"John"}],"issued":{"date-parts":[["2017"]]}}}],"schema":"https://github.com/citation-style-language/schema/raw/master/csl-citation.json"} </w:instrText>
      </w:r>
      <w:r w:rsidR="00084458">
        <w:rPr>
          <w:rFonts w:ascii="Arial" w:hAnsi="Arial" w:cs="Arial"/>
          <w:sz w:val="22"/>
          <w:szCs w:val="22"/>
        </w:rPr>
        <w:fldChar w:fldCharType="separate"/>
      </w:r>
      <w:r w:rsidRPr="00025355" w:rsidR="00025355">
        <w:rPr>
          <w:rFonts w:ascii="Arial" w:hAnsi="Arial" w:cs="Arial"/>
          <w:kern w:val="0"/>
          <w:sz w:val="22"/>
          <w:vertAlign w:val="superscript"/>
        </w:rPr>
        <w:t>90–92</w:t>
      </w:r>
      <w:r w:rsidR="00084458">
        <w:rPr>
          <w:rFonts w:ascii="Arial" w:hAnsi="Arial" w:cs="Arial"/>
          <w:sz w:val="22"/>
          <w:szCs w:val="22"/>
        </w:rPr>
        <w:fldChar w:fldCharType="end"/>
      </w:r>
      <w:r w:rsidR="004D6F49">
        <w:rPr>
          <w:rFonts w:ascii="Arial" w:hAnsi="Arial" w:cs="Arial"/>
          <w:sz w:val="22"/>
          <w:szCs w:val="22"/>
        </w:rPr>
        <w:t xml:space="preserve"> </w:t>
      </w:r>
      <w:r w:rsidRPr="00DD3983" w:rsidR="009A296E">
        <w:rPr>
          <w:rFonts w:ascii="Arial" w:hAnsi="Arial" w:cs="Arial"/>
          <w:sz w:val="22"/>
          <w:szCs w:val="22"/>
        </w:rPr>
        <w:t xml:space="preserve">Collectively, this expanded </w:t>
      </w:r>
      <w:r w:rsidRPr="00DD3983" w:rsidR="009C7EC7">
        <w:rPr>
          <w:rFonts w:ascii="Arial" w:hAnsi="Arial" w:cs="Arial"/>
          <w:sz w:val="22"/>
          <w:szCs w:val="22"/>
        </w:rPr>
        <w:t>context</w:t>
      </w:r>
      <w:r w:rsidRPr="00DD3983" w:rsidR="009A296E">
        <w:rPr>
          <w:rFonts w:ascii="Arial" w:hAnsi="Arial" w:cs="Arial"/>
          <w:sz w:val="22"/>
          <w:szCs w:val="22"/>
        </w:rPr>
        <w:t xml:space="preserve"> </w:t>
      </w:r>
      <w:r w:rsidRPr="00DD3983" w:rsidR="009C7EC7">
        <w:rPr>
          <w:rFonts w:ascii="Arial" w:hAnsi="Arial" w:cs="Arial"/>
          <w:sz w:val="22"/>
          <w:szCs w:val="22"/>
        </w:rPr>
        <w:t xml:space="preserve">points to </w:t>
      </w:r>
      <w:r w:rsidRPr="00DD3983" w:rsidR="009A296E">
        <w:rPr>
          <w:rFonts w:ascii="Arial" w:hAnsi="Arial" w:cs="Arial"/>
          <w:sz w:val="22"/>
          <w:szCs w:val="22"/>
        </w:rPr>
        <w:t xml:space="preserve">early AD diagnosis as not only clinically essential but economically strategic, reinforcing the urgency to </w:t>
      </w:r>
      <w:r w:rsidR="000B6F6D">
        <w:rPr>
          <w:rFonts w:ascii="Arial" w:hAnsi="Arial" w:cs="Arial"/>
          <w:sz w:val="22"/>
          <w:szCs w:val="22"/>
        </w:rPr>
        <w:t xml:space="preserve">better </w:t>
      </w:r>
      <w:r w:rsidRPr="00DD3983" w:rsidR="006A5CEC">
        <w:rPr>
          <w:rFonts w:ascii="Arial" w:hAnsi="Arial" w:cs="Arial"/>
          <w:sz w:val="22"/>
          <w:szCs w:val="22"/>
        </w:rPr>
        <w:t xml:space="preserve">understand and </w:t>
      </w:r>
      <w:r w:rsidRPr="00DD3983" w:rsidR="009A296E">
        <w:rPr>
          <w:rFonts w:ascii="Arial" w:hAnsi="Arial" w:cs="Arial"/>
          <w:sz w:val="22"/>
          <w:szCs w:val="22"/>
        </w:rPr>
        <w:t>overcome existing diagnostic barriers.</w:t>
      </w:r>
    </w:p>
    <w:p w:rsidRPr="00DD3983" w:rsidR="00502D19" w:rsidP="007B388C" w:rsidRDefault="005C5C28" w14:paraId="7A6F837C" w14:textId="248AD379">
      <w:pPr>
        <w:spacing w:before="100" w:beforeAutospacing="1" w:after="100" w:afterAutospacing="1" w:line="240" w:lineRule="auto"/>
        <w:jc w:val="both"/>
        <w:rPr>
          <w:rFonts w:ascii="Arial" w:hAnsi="Arial" w:cs="Arial"/>
          <w:sz w:val="22"/>
          <w:szCs w:val="22"/>
        </w:rPr>
      </w:pPr>
      <w:r w:rsidRPr="00DD3983">
        <w:rPr>
          <w:rFonts w:ascii="Arial" w:hAnsi="Arial" w:cs="Arial"/>
          <w:sz w:val="22"/>
          <w:szCs w:val="22"/>
        </w:rPr>
        <w:t>The practical implications of our findings suggest that the path forward requires innovations and initiatives that specifically target the two most pervasive barriers we identified: limited generalizability and cost. The World Alzheimer Report advocates for "regular cognitive assessment via brief cognitive tests during annual health checks" and emphasizes the need for "financial risk protection programs" to enable equitable access to diagnosis.</w:t>
      </w:r>
      <w:r w:rsidR="007B388C">
        <w:rPr>
          <w:rFonts w:ascii="Arial" w:hAnsi="Arial" w:cs="Arial"/>
          <w:sz w:val="22"/>
          <w:szCs w:val="22"/>
        </w:rPr>
        <w:fldChar w:fldCharType="begin"/>
      </w:r>
      <w:r w:rsidR="007B388C">
        <w:rPr>
          <w:rFonts w:ascii="Arial" w:hAnsi="Arial" w:cs="Arial"/>
          <w:sz w:val="22"/>
          <w:szCs w:val="22"/>
        </w:rPr>
        <w:instrText xml:space="preserve"> ADDIN ZOTERO_ITEM CSL_CITATION {"citationID":"8kCMFI8U","properties":{"formattedCitation":"\\super 86\\nosupersub{}","plainCitation":"86","noteIndex":0},"citationItems":[{"id":2036,"uris":["http://zotero.org/users/10927406/items/SHWCTLY2"],"itemData":{"id":2036,"type":"article-journal","abstract":"The World Alzheimer Report 2021 includes over 50 essays from leading experts from around the world and is supported by findings from 3 key global surveys, which received responses from 1,111 clinicians, 2,325 people with dementia and carers, and over 100 national Alzheimer and dementia associations.","language":"en","source":"www.alzint.org","title":"World Alzheimer Report 2021: Journey through the diagnosis of dementia","title-short":"World Alzheimer Report 2021","URL":"https://www.alzint.org/resource/world-alzheimer-report-2021/","author":[{"family":"International","given":"Alzheimer's Disease"},{"family":"University","given":"McGill"}],"accessed":{"date-parts":[["2025",3,24]]},"issued":{"date-parts":[["2021",9,21]]}}}],"schema":"https://github.com/citation-style-language/schema/raw/master/csl-citation.json"} </w:instrText>
      </w:r>
      <w:r w:rsidR="007B388C">
        <w:rPr>
          <w:rFonts w:ascii="Arial" w:hAnsi="Arial" w:cs="Arial"/>
          <w:sz w:val="22"/>
          <w:szCs w:val="22"/>
        </w:rPr>
        <w:fldChar w:fldCharType="separate"/>
      </w:r>
      <w:r w:rsidRPr="007B388C" w:rsidR="007B388C">
        <w:rPr>
          <w:rFonts w:ascii="Arial" w:hAnsi="Arial" w:cs="Arial"/>
          <w:kern w:val="0"/>
          <w:sz w:val="22"/>
          <w:vertAlign w:val="superscript"/>
        </w:rPr>
        <w:t>86</w:t>
      </w:r>
      <w:r w:rsidR="007B388C">
        <w:rPr>
          <w:rFonts w:ascii="Arial" w:hAnsi="Arial" w:cs="Arial"/>
          <w:sz w:val="22"/>
          <w:szCs w:val="22"/>
        </w:rPr>
        <w:fldChar w:fldCharType="end"/>
      </w:r>
      <w:r w:rsidRPr="00DD3983">
        <w:rPr>
          <w:rFonts w:ascii="Arial" w:hAnsi="Arial" w:cs="Arial"/>
          <w:sz w:val="22"/>
          <w:szCs w:val="22"/>
        </w:rPr>
        <w:t xml:space="preserve"> Similarly, the Lancet Commission recommends systemic changes to improve cognitive health while accounting for diversity in risk profiles and healthcare access</w:t>
      </w:r>
      <w:r w:rsidR="00C77DC3">
        <w:rPr>
          <w:rFonts w:ascii="Arial" w:hAnsi="Arial" w:cs="Arial"/>
          <w:sz w:val="22"/>
          <w:szCs w:val="22"/>
        </w:rPr>
        <w:t>.</w:t>
      </w:r>
      <w:r w:rsidRPr="00DD3983" w:rsidR="004511BE">
        <w:rPr>
          <w:rFonts w:ascii="Arial" w:hAnsi="Arial" w:cs="Arial"/>
          <w:sz w:val="22"/>
          <w:szCs w:val="22"/>
        </w:rPr>
        <w:fldChar w:fldCharType="begin"/>
      </w:r>
      <w:r w:rsidR="00025355">
        <w:rPr>
          <w:rFonts w:ascii="Arial" w:hAnsi="Arial" w:cs="Arial"/>
          <w:sz w:val="22"/>
          <w:szCs w:val="22"/>
        </w:rPr>
        <w:instrText xml:space="preserve"> ADDIN ZOTERO_ITEM CSL_CITATION {"citationID":"wn9lVrGe","properties":{"formattedCitation":"\\super 11\\nosupersub{}","plainCitation":"11","noteIndex":0},"citationItems":[{"id":1976,"uris":["http://zotero.org/users/10927406/items/PP4RMC87"],"itemData":{"id":1976,"type":"article-journal","container-title":"The Lancet","DOI":"10.1016/S0140-6736(24)01296-0","ISSN":"0140-6736, 1474-547X","issue":"10452","journalAbbreviation":"The Lancet","language":"English","note":"publisher: Elsevier\nPMID: 39096926","page":"572-628","source":"www.thelancet.com","title":"Dementia prevention, intervention, and care: 2024 report of the Lancet standing Commission","title-short":"Dementia prevention, intervention, and care","volume":"404","author":[{"family":"Livingston","given":"Gill"},{"family":"Huntley","given":"Jonathan"},{"family":"Liu","given":"Kathy Y."},{"family":"Costafreda","given":"Sergi G."},{"family":"Selbæk","given":"Geir"},{"family":"Alladi","given":"Suvarna"},{"family":"Ames","given":"David"},{"family":"Banerjee","given":"Sube"},{"family":"Burns","given":"Alistair"},{"family":"Brayne","given":"Carol"},{"family":"Fox","given":"Nick C."},{"family":"Ferri","given":"Cleusa P."},{"family":"Gitlin","given":"Laura N."},{"family":"Howard","given":"Robert"},{"family":"Kales","given":"Helen C."},{"family":"Kivimäki","given":"Mika"},{"family":"Larson","given":"Eric B."},{"family":"Nakasujja","given":"Noeline"},{"family":"Rockwood","given":"Kenneth"},{"family":"Samus","given":"Quincy"},{"family":"Shirai","given":"Kokoro"},{"family":"Singh-Manoux","given":"Archana"},{"family":"Schneider","given":"Lon S."},{"family":"Walsh","given":"Sebastian"},{"family":"Yao","given":"Yao"},{"family":"Sommerlad","given":"Andrew"},{"family":"Mukadam","given":"Naaheed"}],"issued":{"date-parts":[["2024",8,10]]}}}],"schema":"https://github.com/citation-style-language/schema/raw/master/csl-citation.json"} </w:instrText>
      </w:r>
      <w:r w:rsidRPr="00DD3983" w:rsidR="004511BE">
        <w:rPr>
          <w:rFonts w:ascii="Arial" w:hAnsi="Arial" w:cs="Arial"/>
          <w:sz w:val="22"/>
          <w:szCs w:val="22"/>
        </w:rPr>
        <w:fldChar w:fldCharType="separate"/>
      </w:r>
      <w:r w:rsidRPr="00025355" w:rsidR="00025355">
        <w:rPr>
          <w:rFonts w:ascii="Arial" w:hAnsi="Arial" w:cs="Arial"/>
          <w:kern w:val="0"/>
          <w:sz w:val="22"/>
          <w:vertAlign w:val="superscript"/>
        </w:rPr>
        <w:t>11</w:t>
      </w:r>
      <w:r w:rsidRPr="00DD3983" w:rsidR="004511BE">
        <w:rPr>
          <w:rFonts w:ascii="Arial" w:hAnsi="Arial" w:cs="Arial"/>
          <w:sz w:val="22"/>
          <w:szCs w:val="22"/>
        </w:rPr>
        <w:fldChar w:fldCharType="end"/>
      </w:r>
      <w:r w:rsidRPr="00DD3983">
        <w:rPr>
          <w:rFonts w:ascii="Arial" w:hAnsi="Arial" w:cs="Arial"/>
          <w:sz w:val="22"/>
          <w:szCs w:val="22"/>
        </w:rPr>
        <w:t xml:space="preserve"> Future research initiatives</w:t>
      </w:r>
      <w:r w:rsidRPr="00DD3983" w:rsidR="00B70F92">
        <w:rPr>
          <w:rFonts w:ascii="Arial" w:hAnsi="Arial" w:cs="Arial"/>
          <w:sz w:val="22"/>
          <w:szCs w:val="22"/>
        </w:rPr>
        <w:t xml:space="preserve"> irrespective of discipline</w:t>
      </w:r>
      <w:r w:rsidRPr="00DD3983">
        <w:rPr>
          <w:rFonts w:ascii="Arial" w:hAnsi="Arial" w:cs="Arial"/>
          <w:sz w:val="22"/>
          <w:szCs w:val="22"/>
        </w:rPr>
        <w:t xml:space="preserve"> should therefore prioritize addressing at least one of these fundamental constraints—either by enhancing generalizability through more inclusive research methodologies and validation across diverse populations or by developing more cost-effective diagnostic approaches accessible in various resource settings.</w:t>
      </w:r>
      <w:r w:rsidRPr="00DD3983" w:rsidR="00404909">
        <w:rPr>
          <w:rFonts w:ascii="Arial" w:hAnsi="Arial" w:cs="Arial"/>
          <w:sz w:val="22"/>
          <w:szCs w:val="22"/>
        </w:rPr>
        <w:t xml:space="preserve"> </w:t>
      </w:r>
      <w:r w:rsidRPr="00DD3983" w:rsidR="00502D19">
        <w:rPr>
          <w:rFonts w:ascii="Arial" w:hAnsi="Arial" w:cs="Arial"/>
          <w:sz w:val="22"/>
          <w:szCs w:val="22"/>
        </w:rPr>
        <w:t xml:space="preserve">The shift to a prevention-focused paradigm, supported by our findings, represents not just a clinical reorientation but a necessary evolution in how healthcare systems approach AD. The Lancet Commission's evidence that 40% of dementia is potentially preventable through modifiable risk factor intervention </w:t>
      </w:r>
      <w:r w:rsidRPr="00DD3983" w:rsidR="00DC5DE7">
        <w:rPr>
          <w:rFonts w:ascii="Arial" w:hAnsi="Arial" w:cs="Arial"/>
          <w:sz w:val="22"/>
          <w:szCs w:val="22"/>
        </w:rPr>
        <w:t xml:space="preserve">cements </w:t>
      </w:r>
      <w:r w:rsidRPr="00DD3983" w:rsidR="00502D19">
        <w:rPr>
          <w:rFonts w:ascii="Arial" w:hAnsi="Arial" w:cs="Arial"/>
          <w:sz w:val="22"/>
          <w:szCs w:val="22"/>
        </w:rPr>
        <w:t xml:space="preserve">the critical importance of early diagnosis as the gateway to these preventive measures. Our results suggest that without addressing the interdisciplinary barriers </w:t>
      </w:r>
      <w:r w:rsidRPr="00DD3983" w:rsidR="00333498">
        <w:rPr>
          <w:rFonts w:ascii="Arial" w:hAnsi="Arial" w:cs="Arial"/>
          <w:sz w:val="22"/>
          <w:szCs w:val="22"/>
        </w:rPr>
        <w:t>we have</w:t>
      </w:r>
      <w:r w:rsidRPr="00DD3983" w:rsidR="00502D19">
        <w:rPr>
          <w:rFonts w:ascii="Arial" w:hAnsi="Arial" w:cs="Arial"/>
          <w:sz w:val="22"/>
          <w:szCs w:val="22"/>
        </w:rPr>
        <w:t xml:space="preserve"> identified, particularly those related to cost and generalizability, the potential benefits of early intervention will remain unrealized for millions of individuals at risk of developing AD.</w:t>
      </w:r>
    </w:p>
    <w:p w:rsidRPr="00DD3983" w:rsidR="00E57C5B" w:rsidP="007B388C" w:rsidRDefault="00502D19" w14:paraId="267B98E1" w14:textId="5BE088FE">
      <w:pPr>
        <w:spacing w:before="100" w:beforeAutospacing="1" w:after="100" w:afterAutospacing="1" w:line="240" w:lineRule="auto"/>
        <w:jc w:val="both"/>
        <w:rPr>
          <w:rStyle w:val="eop"/>
          <w:rFonts w:ascii="Arial" w:hAnsi="Arial" w:cs="Arial"/>
          <w:sz w:val="22"/>
          <w:szCs w:val="22"/>
        </w:rPr>
      </w:pPr>
      <w:r w:rsidRPr="00DD3983">
        <w:rPr>
          <w:rFonts w:ascii="Arial" w:hAnsi="Arial" w:cs="Arial"/>
          <w:sz w:val="22"/>
          <w:szCs w:val="22"/>
        </w:rPr>
        <w:t xml:space="preserve">In light of these considerations, we suggest that any innovation aimed at improving early AD diagnosis should explicitly address at least one of these pervasive barriers, either by enhancing generalizability across diverse populations or by reducing associated costs. This approach would ensure that new developments are not only scientifically sound but also practically implementable in the complex global landscape of dementia care, </w:t>
      </w:r>
      <w:r w:rsidRPr="00DD3983" w:rsidR="00015C59">
        <w:rPr>
          <w:rFonts w:ascii="Arial" w:hAnsi="Arial" w:cs="Arial"/>
          <w:sz w:val="22"/>
          <w:szCs w:val="22"/>
        </w:rPr>
        <w:t>helping</w:t>
      </w:r>
      <w:r w:rsidRPr="00DD3983">
        <w:rPr>
          <w:rFonts w:ascii="Arial" w:hAnsi="Arial" w:cs="Arial"/>
          <w:sz w:val="22"/>
          <w:szCs w:val="22"/>
        </w:rPr>
        <w:t xml:space="preserve"> to bridge the </w:t>
      </w:r>
      <w:r w:rsidRPr="00DD3983" w:rsidR="00315F1E">
        <w:rPr>
          <w:rFonts w:ascii="Arial" w:hAnsi="Arial" w:cs="Arial"/>
          <w:sz w:val="22"/>
          <w:szCs w:val="22"/>
        </w:rPr>
        <w:t xml:space="preserve">interdisciplinary </w:t>
      </w:r>
      <w:r w:rsidRPr="00DD3983">
        <w:rPr>
          <w:rFonts w:ascii="Arial" w:hAnsi="Arial" w:cs="Arial"/>
          <w:sz w:val="22"/>
          <w:szCs w:val="22"/>
        </w:rPr>
        <w:t>gap</w:t>
      </w:r>
      <w:r w:rsidRPr="00DD3983" w:rsidR="00315F1E">
        <w:rPr>
          <w:rFonts w:ascii="Arial" w:hAnsi="Arial" w:cs="Arial"/>
          <w:sz w:val="22"/>
          <w:szCs w:val="22"/>
        </w:rPr>
        <w:t>s</w:t>
      </w:r>
      <w:r w:rsidRPr="00DD3983">
        <w:rPr>
          <w:rFonts w:ascii="Arial" w:hAnsi="Arial" w:cs="Arial"/>
          <w:sz w:val="22"/>
          <w:szCs w:val="22"/>
        </w:rPr>
        <w:t xml:space="preserve"> between the promise of early intervention and its actual delivery to those who need it most.</w:t>
      </w:r>
    </w:p>
    <w:p w:rsidRPr="00DD3983" w:rsidR="00C74876" w:rsidP="006618CC" w:rsidRDefault="00C74876" w14:paraId="0FD8917E" w14:textId="6EC251BF">
      <w:pPr>
        <w:pStyle w:val="paragraph"/>
        <w:spacing w:before="0" w:beforeAutospacing="0" w:after="0" w:afterAutospacing="0"/>
        <w:jc w:val="both"/>
        <w:textAlignment w:val="baseline"/>
        <w:rPr>
          <w:rFonts w:ascii="Arial" w:hAnsi="Arial" w:cs="Arial"/>
          <w:sz w:val="22"/>
          <w:szCs w:val="22"/>
        </w:rPr>
      </w:pPr>
    </w:p>
    <w:p w:rsidRPr="00993411" w:rsidR="00F316D7" w:rsidP="00641F6A" w:rsidRDefault="00D72660" w14:paraId="1964D847" w14:textId="269F52A7">
      <w:pPr>
        <w:pStyle w:val="Heading1"/>
        <w:spacing w:before="0"/>
      </w:pPr>
      <w:r w:rsidRPr="00722818">
        <w:rPr>
          <w:rStyle w:val="eop"/>
        </w:rPr>
        <w:t>Recommendation</w:t>
      </w:r>
      <w:r w:rsidRPr="00722818" w:rsidR="00213607">
        <w:rPr>
          <w:rStyle w:val="eop"/>
        </w:rPr>
        <w:t>s</w:t>
      </w:r>
    </w:p>
    <w:p w:rsidRPr="00D0079A" w:rsidR="00416209" w:rsidP="00641F6A" w:rsidRDefault="00416209" w14:paraId="274DB0E9" w14:textId="2FC70A44">
      <w:pPr>
        <w:pStyle w:val="Heading2"/>
        <w:spacing w:before="0"/>
      </w:pPr>
      <w:r w:rsidRPr="0072712E">
        <w:rPr>
          <w:rStyle w:val="normaltextrun"/>
        </w:rPr>
        <w:t>Recommendations for Practice</w:t>
      </w:r>
    </w:p>
    <w:p w:rsidR="00416209" w:rsidP="4BC5C7F8" w:rsidRDefault="00416209" w14:paraId="6A88A68B" w14:textId="01E1B28A" w14:noSpellErr="1">
      <w:pPr>
        <w:pStyle w:val="paragraph"/>
        <w:spacing w:before="0" w:beforeAutospacing="off" w:after="80" w:afterAutospacing="off"/>
        <w:jc w:val="both"/>
        <w:textAlignment w:val="baseline"/>
        <w:rPr>
          <w:rStyle w:val="normaltextrun"/>
          <w:rFonts w:ascii="Arial" w:hAnsi="Arial" w:eastAsia="" w:cs="Arial" w:eastAsiaTheme="majorEastAsia"/>
          <w:sz w:val="22"/>
          <w:szCs w:val="22"/>
          <w:lang w:val="en-US"/>
        </w:rPr>
      </w:pPr>
      <w:r w:rsidRPr="4BC5C7F8" w:rsidR="00416209">
        <w:rPr>
          <w:rStyle w:val="normaltextrun"/>
          <w:rFonts w:ascii="Arial" w:hAnsi="Arial" w:eastAsia="" w:cs="Arial" w:eastAsiaTheme="majorEastAsia"/>
          <w:sz w:val="22"/>
          <w:szCs w:val="22"/>
          <w:lang w:val="en-US"/>
        </w:rPr>
        <w:t xml:space="preserve">To improve the early diagnosis of AD, it is essential to implement practical, evidence-based strategies that enhance accessibility and efficiency in </w:t>
      </w:r>
      <w:r w:rsidRPr="4BC5C7F8" w:rsidR="00CF545A">
        <w:rPr>
          <w:rStyle w:val="normaltextrun"/>
          <w:rFonts w:ascii="Arial" w:hAnsi="Arial" w:eastAsia="" w:cs="Arial" w:eastAsiaTheme="majorEastAsia"/>
          <w:sz w:val="22"/>
          <w:szCs w:val="22"/>
          <w:lang w:val="en-US"/>
        </w:rPr>
        <w:t>screening efforts</w:t>
      </w:r>
      <w:r w:rsidRPr="4BC5C7F8" w:rsidR="00416209">
        <w:rPr>
          <w:rStyle w:val="normaltextrun"/>
          <w:rFonts w:ascii="Arial" w:hAnsi="Arial" w:eastAsia="" w:cs="Arial" w:eastAsiaTheme="majorEastAsia"/>
          <w:sz w:val="22"/>
          <w:szCs w:val="22"/>
          <w:lang w:val="en-US"/>
        </w:rPr>
        <w:t xml:space="preserve">. Two promising approaches are the integration of AI-driven digital screening tools and the adoption of personalized risk-based screening pathways. These strategies have </w:t>
      </w:r>
      <w:r w:rsidRPr="4BC5C7F8" w:rsidR="00416209">
        <w:rPr>
          <w:rStyle w:val="normaltextrun"/>
          <w:rFonts w:ascii="Arial" w:hAnsi="Arial" w:eastAsia="" w:cs="Arial" w:eastAsiaTheme="majorEastAsia"/>
          <w:sz w:val="22"/>
          <w:szCs w:val="22"/>
          <w:lang w:val="en-US"/>
        </w:rPr>
        <w:t>demonstrated</w:t>
      </w:r>
      <w:r w:rsidRPr="4BC5C7F8" w:rsidR="00416209">
        <w:rPr>
          <w:rStyle w:val="normaltextrun"/>
          <w:rFonts w:ascii="Arial" w:hAnsi="Arial" w:eastAsia="" w:cs="Arial" w:eastAsiaTheme="majorEastAsia"/>
          <w:sz w:val="22"/>
          <w:szCs w:val="22"/>
          <w:lang w:val="en-US"/>
        </w:rPr>
        <w:t xml:space="preserve"> success in research and clinical settings</w:t>
      </w:r>
      <w:r w:rsidRPr="4BC5C7F8" w:rsidR="00D67FDD">
        <w:rPr>
          <w:rStyle w:val="normaltextrun"/>
          <w:rFonts w:ascii="Arial" w:hAnsi="Arial" w:eastAsia="" w:cs="Arial" w:eastAsiaTheme="majorEastAsia"/>
          <w:sz w:val="22"/>
          <w:szCs w:val="22"/>
          <w:lang w:val="en-US"/>
        </w:rPr>
        <w:t>.</w:t>
      </w:r>
      <w:r w:rsidRPr="4BC5C7F8" w:rsidR="00416209">
        <w:rPr>
          <w:rStyle w:val="normaltextrun"/>
          <w:rFonts w:ascii="Arial" w:hAnsi="Arial" w:eastAsia="" w:cs="Arial" w:eastAsiaTheme="majorEastAsia"/>
          <w:sz w:val="22"/>
          <w:szCs w:val="22"/>
          <w:lang w:val="en-US"/>
        </w:rPr>
        <w:t xml:space="preserve">  </w:t>
      </w:r>
      <w:r w:rsidRPr="4BC5C7F8" w:rsidR="00D67FDD">
        <w:rPr>
          <w:rStyle w:val="normaltextrun"/>
          <w:rFonts w:ascii="Arial" w:hAnsi="Arial" w:eastAsia="" w:cs="Arial" w:eastAsiaTheme="majorEastAsia"/>
          <w:sz w:val="22"/>
          <w:szCs w:val="22"/>
          <w:lang w:val="en-US"/>
        </w:rPr>
        <w:t>T</w:t>
      </w:r>
      <w:r w:rsidRPr="4BC5C7F8" w:rsidR="00416209">
        <w:rPr>
          <w:rStyle w:val="normaltextrun"/>
          <w:rFonts w:ascii="Arial" w:hAnsi="Arial" w:eastAsia="" w:cs="Arial" w:eastAsiaTheme="majorEastAsia"/>
          <w:sz w:val="22"/>
          <w:szCs w:val="22"/>
          <w:lang w:val="en-US"/>
        </w:rPr>
        <w:t xml:space="preserve">he Creyos cognitive testing platform and the U.S. POINTER study can be adapted to </w:t>
      </w:r>
      <w:r w:rsidRPr="4BC5C7F8" w:rsidR="00416209">
        <w:rPr>
          <w:rStyle w:val="normaltextrun"/>
          <w:rFonts w:ascii="Arial" w:hAnsi="Arial" w:eastAsia="" w:cs="Arial" w:eastAsiaTheme="majorEastAsia"/>
          <w:sz w:val="22"/>
          <w:szCs w:val="22"/>
          <w:lang w:val="en-US"/>
        </w:rPr>
        <w:t>optimize</w:t>
      </w:r>
      <w:r w:rsidRPr="4BC5C7F8" w:rsidR="00416209">
        <w:rPr>
          <w:rStyle w:val="normaltextrun"/>
          <w:rFonts w:ascii="Arial" w:hAnsi="Arial" w:eastAsia="" w:cs="Arial" w:eastAsiaTheme="majorEastAsia"/>
          <w:sz w:val="22"/>
          <w:szCs w:val="22"/>
          <w:lang w:val="en-US"/>
        </w:rPr>
        <w:t xml:space="preserve"> AD diagnosis in broader healthcare systems.</w:t>
      </w:r>
    </w:p>
    <w:p w:rsidRPr="00DD3983" w:rsidR="00993411" w:rsidP="00993411" w:rsidRDefault="00993411" w14:paraId="56CF1791" w14:textId="77777777">
      <w:pPr>
        <w:pStyle w:val="paragraph"/>
        <w:spacing w:before="0" w:beforeAutospacing="0" w:after="0" w:afterAutospacing="0"/>
        <w:jc w:val="both"/>
        <w:textAlignment w:val="baseline"/>
        <w:rPr>
          <w:rFonts w:ascii="Arial" w:hAnsi="Arial" w:cs="Arial" w:eastAsiaTheme="majorEastAsia"/>
          <w:sz w:val="22"/>
          <w:szCs w:val="22"/>
          <w:lang w:val="en-US"/>
        </w:rPr>
      </w:pPr>
    </w:p>
    <w:p w:rsidRPr="00D0079A" w:rsidR="00416209" w:rsidP="00993411" w:rsidRDefault="00416209" w14:paraId="176A22C7" w14:textId="5EA40E28">
      <w:pPr>
        <w:pStyle w:val="Heading3"/>
        <w:spacing w:before="0" w:after="0"/>
      </w:pPr>
      <w:r w:rsidRPr="0072712E">
        <w:rPr>
          <w:rStyle w:val="normaltextrun"/>
        </w:rPr>
        <w:t>AI-Driven and Digital Screening Tools</w:t>
      </w:r>
    </w:p>
    <w:p w:rsidRPr="003F2ADA" w:rsidR="00416209" w:rsidP="00993411" w:rsidRDefault="00416209" w14:paraId="5DC4DE92" w14:textId="645340ED">
      <w:pPr>
        <w:spacing w:after="0" w:line="240" w:lineRule="auto"/>
        <w:jc w:val="both"/>
        <w:rPr>
          <w:rFonts w:ascii="Arial" w:hAnsi="Arial" w:eastAsia="Times New Roman" w:cs="Arial"/>
          <w:kern w:val="0"/>
          <w:sz w:val="22"/>
          <w:szCs w:val="22"/>
          <w:lang w:val="en-US"/>
          <w14:ligatures w14:val="none"/>
        </w:rPr>
      </w:pPr>
      <w:r w:rsidRPr="00DD3983">
        <w:rPr>
          <w:rStyle w:val="normaltextrun"/>
          <w:rFonts w:ascii="Arial" w:hAnsi="Arial" w:cs="Arial" w:eastAsiaTheme="majorEastAsia"/>
          <w:sz w:val="22"/>
          <w:szCs w:val="22"/>
          <w:lang w:val="en-US"/>
        </w:rPr>
        <w:t>Traditional cognitive assessments often require in-person visits, limiting accessibility for individuals in remote or underserved areas</w:t>
      </w:r>
      <w:r w:rsidR="001843E3">
        <w:rPr>
          <w:rStyle w:val="normaltextrun"/>
          <w:rFonts w:ascii="Arial" w:hAnsi="Arial" w:cs="Arial" w:eastAsiaTheme="majorEastAsia"/>
          <w:sz w:val="22"/>
          <w:szCs w:val="22"/>
          <w:lang w:val="en-US"/>
        </w:rPr>
        <w:t>.</w:t>
      </w:r>
      <w:r w:rsidR="00B048C0">
        <w:rPr>
          <w:rStyle w:val="normaltextrun"/>
          <w:rFonts w:ascii="Arial" w:hAnsi="Arial" w:cs="Arial" w:eastAsiaTheme="majorEastAsia"/>
          <w:color w:val="000000"/>
          <w:sz w:val="22"/>
          <w:szCs w:val="22"/>
        </w:rPr>
        <w:fldChar w:fldCharType="begin"/>
      </w:r>
      <w:r w:rsidR="00025355">
        <w:rPr>
          <w:rStyle w:val="normaltextrun"/>
          <w:rFonts w:ascii="Arial" w:hAnsi="Arial" w:cs="Arial" w:eastAsiaTheme="majorEastAsia"/>
          <w:color w:val="000000"/>
          <w:sz w:val="22"/>
          <w:szCs w:val="22"/>
        </w:rPr>
        <w:instrText xml:space="preserve"> ADDIN ZOTERO_ITEM CSL_CITATION {"citationID":"hRmwEIUb","properties":{"formattedCitation":"\\super 93\\uc0\\u8211{}95\\nosupersub{}","plainCitation":"93–95","noteIndex":0},"citationItems":[{"id":2063,"uris":["http://zotero.org/users/10927406/items/HZRIAW6R"],"itemData":{"id":2063,"type":"article-journal","container-title":"Frontiers in Aging Neuroscience","DOI":"10.3389/fnagi.2016.00253","ISSN":"1663-4365","journalAbbreviation":"Front Aging Neurosci","note":"PMID: 27840605\nPMCID: PMC5083841","page":"253","source":"PubMed Central","title":"Dementia in Latin America: An Emergent Silent Tsunami","title-short":"Dementia in Latin America","volume":"8","author":[{"family":"Baez","given":"Sandra"},{"family":"Ibáñez","given":"Agustín"}],"issued":{"date-parts":[["2016",10,28]]}}},{"id":2058,"uris":["http://zotero.org/users/10927406/items/D5YSNLYJ"],"itemData":{"id":2058,"type":"article-journal","abstract":"Possin and Rosen provide a robust commentary exploring the challenges of using caregivers as cognitive testers. Informants have an important and often overlooked role in diagnosing cognitive impairment. O’Caoimh et al. show they can support cognitive screening in advance of clinic, suggesting new research avenues including the potential for home-monitoring. Although concerns testing may engender bias, introduce practice effects, and impact patient autonomy are valid and require examination, these should be viewed in light of patient preference, clinical need, and the broader ethics of assessing dementia. The importance of distinguishing concerns over accuracy and ethical appropriateness is also discussed.","container-title":"Journal of Alzheimer’s Disease","DOI":"10.3233/JAD-220989","ISSN":"1387-2877","issue":"4","language":"EN","note":"publisher: SAGE Publications","page":"1433-1436","source":"SAGE Journals","title":"Informant-Administered Cognitive Screening as a Component of Memory Clinic Assessment: Overcoming Ethical and Practical Challenges","title-short":"Informant-Administered Cognitive Screening as a Component of Memory Clinic Assessment","volume":"90","author":[{"family":"O’Caoimh","given":"Rónán"}],"issued":{"date-parts":[["2022",12,6]]}}},{"id":1697,"uris":["http://zotero.org/users/10927406/items/TAI4PDHK"],"itemData":{"id":1697,"type":"article-journal","abstract":"Abstract Alzheimer's disease and related dementias (AD/ADRD) disparities exist in the rapidly growing and extremely heterogeneous Asian American and Native Hawaiian and Pacific Islander (NH/PI) ageing populations in the United States. Limited community</w:instrText>
      </w:r>
      <w:r w:rsidR="00025355">
        <w:rPr>
          <w:rStyle w:val="normaltextrun"/>
          <w:rFonts w:ascii="Cambria Math" w:hAnsi="Cambria Math" w:cs="Cambria Math" w:eastAsiaTheme="majorEastAsia"/>
          <w:color w:val="000000"/>
          <w:sz w:val="22"/>
          <w:szCs w:val="22"/>
        </w:rPr>
        <w:instrText>‐</w:instrText>
      </w:r>
      <w:r w:rsidR="00025355">
        <w:rPr>
          <w:rStyle w:val="normaltextrun"/>
          <w:rFonts w:ascii="Arial" w:hAnsi="Arial" w:cs="Arial" w:eastAsiaTheme="majorEastAsia"/>
          <w:color w:val="000000"/>
          <w:sz w:val="22"/>
          <w:szCs w:val="22"/>
        </w:rPr>
        <w:instrText>clinical resources supporting culturally competent and timely diagnosis exacerbate barriers to existing care services in these populations. Community</w:instrText>
      </w:r>
      <w:r w:rsidR="00025355">
        <w:rPr>
          <w:rStyle w:val="normaltextrun"/>
          <w:rFonts w:ascii="Cambria Math" w:hAnsi="Cambria Math" w:cs="Cambria Math" w:eastAsiaTheme="majorEastAsia"/>
          <w:color w:val="000000"/>
          <w:sz w:val="22"/>
          <w:szCs w:val="22"/>
        </w:rPr>
        <w:instrText>‐</w:instrText>
      </w:r>
      <w:r w:rsidR="00025355">
        <w:rPr>
          <w:rStyle w:val="normaltextrun"/>
          <w:rFonts w:ascii="Arial" w:hAnsi="Arial" w:cs="Arial" w:eastAsiaTheme="majorEastAsia"/>
          <w:color w:val="000000"/>
          <w:sz w:val="22"/>
          <w:szCs w:val="22"/>
        </w:rPr>
        <w:instrText>based participatory research or community</w:instrText>
      </w:r>
      <w:r w:rsidR="00025355">
        <w:rPr>
          <w:rStyle w:val="normaltextrun"/>
          <w:rFonts w:ascii="Cambria Math" w:hAnsi="Cambria Math" w:cs="Cambria Math" w:eastAsiaTheme="majorEastAsia"/>
          <w:color w:val="000000"/>
          <w:sz w:val="22"/>
          <w:szCs w:val="22"/>
        </w:rPr>
        <w:instrText>‐</w:instrText>
      </w:r>
      <w:r w:rsidR="00025355">
        <w:rPr>
          <w:rStyle w:val="normaltextrun"/>
          <w:rFonts w:ascii="Arial" w:hAnsi="Arial" w:cs="Arial" w:eastAsiaTheme="majorEastAsia"/>
          <w:color w:val="000000"/>
          <w:sz w:val="22"/>
          <w:szCs w:val="22"/>
        </w:rPr>
        <w:instrText>engaged research are proven community</w:instrText>
      </w:r>
      <w:r w:rsidR="00025355">
        <w:rPr>
          <w:rStyle w:val="normaltextrun"/>
          <w:rFonts w:ascii="Cambria Math" w:hAnsi="Cambria Math" w:cs="Cambria Math" w:eastAsiaTheme="majorEastAsia"/>
          <w:color w:val="000000"/>
          <w:sz w:val="22"/>
          <w:szCs w:val="22"/>
        </w:rPr>
        <w:instrText>‐</w:instrText>
      </w:r>
      <w:r w:rsidR="00025355">
        <w:rPr>
          <w:rStyle w:val="normaltextrun"/>
          <w:rFonts w:ascii="Arial" w:hAnsi="Arial" w:cs="Arial" w:eastAsiaTheme="majorEastAsia"/>
          <w:color w:val="000000"/>
          <w:sz w:val="22"/>
          <w:szCs w:val="22"/>
        </w:rPr>
        <w:instrText>academic research approaches that can support the development and implementation of community</w:instrText>
      </w:r>
      <w:r w:rsidR="00025355">
        <w:rPr>
          <w:rStyle w:val="normaltextrun"/>
          <w:rFonts w:ascii="Cambria Math" w:hAnsi="Cambria Math" w:cs="Cambria Math" w:eastAsiaTheme="majorEastAsia"/>
          <w:color w:val="000000"/>
          <w:sz w:val="22"/>
          <w:szCs w:val="22"/>
        </w:rPr>
        <w:instrText>‐</w:instrText>
      </w:r>
      <w:r w:rsidR="00025355">
        <w:rPr>
          <w:rStyle w:val="normaltextrun"/>
          <w:rFonts w:ascii="Arial" w:hAnsi="Arial" w:cs="Arial" w:eastAsiaTheme="majorEastAsia"/>
          <w:color w:val="000000"/>
          <w:sz w:val="22"/>
          <w:szCs w:val="22"/>
        </w:rPr>
        <w:instrText>focused programmes to maximise community benefit. The NYU Center for the Study of Asian American Health engaged our national and local community partners to gain a deeper understanding of AD/ADRD in this diverse and growing population, to develop a strategic community</w:instrText>
      </w:r>
      <w:r w:rsidR="00025355">
        <w:rPr>
          <w:rStyle w:val="normaltextrun"/>
          <w:rFonts w:ascii="Cambria Math" w:hAnsi="Cambria Math" w:cs="Cambria Math" w:eastAsiaTheme="majorEastAsia"/>
          <w:color w:val="000000"/>
          <w:sz w:val="22"/>
          <w:szCs w:val="22"/>
        </w:rPr>
        <w:instrText>‐</w:instrText>
      </w:r>
      <w:r w:rsidR="00025355">
        <w:rPr>
          <w:rStyle w:val="normaltextrun"/>
          <w:rFonts w:ascii="Arial" w:hAnsi="Arial" w:cs="Arial" w:eastAsiaTheme="majorEastAsia"/>
          <w:color w:val="000000"/>
          <w:sz w:val="22"/>
          <w:szCs w:val="22"/>
        </w:rPr>
        <w:instrText>engaged research agenda to understand, address and reduce AD/ADRD disparities among Asian American and NH/PI communities. Findings from an initial scoping review identified significant research gaps. We conducted a series of key informant interviews (n = 11) and a modified Delphi survey (n = 14) with Asian American and NH/PI community leaders and older adult service providers followed by a facilitated group discussion of survey findings to gain consensus on key priority research areas identified in the literature and to determine culturally and contextually appropriate approaches to support AD/ADRD prevention, early identification and treatment in Asian American and NH/PI communities. Future research and health education should focus on raising Asian American and NH/PI basic individual</w:instrText>
      </w:r>
      <w:r w:rsidR="00025355">
        <w:rPr>
          <w:rStyle w:val="normaltextrun"/>
          <w:rFonts w:ascii="Cambria Math" w:hAnsi="Cambria Math" w:cs="Cambria Math" w:eastAsiaTheme="majorEastAsia"/>
          <w:color w:val="000000"/>
          <w:sz w:val="22"/>
          <w:szCs w:val="22"/>
        </w:rPr>
        <w:instrText>‐</w:instrText>
      </w:r>
      <w:r w:rsidR="00025355">
        <w:rPr>
          <w:rStyle w:val="normaltextrun"/>
          <w:rFonts w:ascii="Arial" w:hAnsi="Arial" w:cs="Arial" w:eastAsiaTheme="majorEastAsia"/>
          <w:color w:val="000000"/>
          <w:sz w:val="22"/>
          <w:szCs w:val="22"/>
        </w:rPr>
        <w:instrText xml:space="preserve"> and community</w:instrText>
      </w:r>
      <w:r w:rsidR="00025355">
        <w:rPr>
          <w:rStyle w:val="normaltextrun"/>
          <w:rFonts w:ascii="Cambria Math" w:hAnsi="Cambria Math" w:cs="Cambria Math" w:eastAsiaTheme="majorEastAsia"/>
          <w:color w:val="000000"/>
          <w:sz w:val="22"/>
          <w:szCs w:val="22"/>
        </w:rPr>
        <w:instrText>‐</w:instrText>
      </w:r>
      <w:r w:rsidR="00025355">
        <w:rPr>
          <w:rStyle w:val="normaltextrun"/>
          <w:rFonts w:ascii="Arial" w:hAnsi="Arial" w:cs="Arial" w:eastAsiaTheme="majorEastAsia"/>
          <w:color w:val="000000"/>
          <w:sz w:val="22"/>
          <w:szCs w:val="22"/>
        </w:rPr>
        <w:instrText>level awareness about AD/ADRD and leveraging existing community assets to integrate effective engagement strategies to access AD/ADRD services within the healthcare system.","container-title":"Health &amp; Social Care in the Community","DOI":"10.1111/hsc.14025","ISSN":"0966-0410","issue":"6","journalAbbreviation":"Health &amp; Social Care in the Community","note":"publisher: Wiley","page":"e5946-e5958","source":"Scholars Portal Journals","title":"Exploring community knowledge, attitudes and perceptions of Alzheimer's Disease/Alzheimer's Disease</w:instrText>
      </w:r>
      <w:r w:rsidR="00025355">
        <w:rPr>
          <w:rStyle w:val="normaltextrun"/>
          <w:rFonts w:ascii="Cambria Math" w:hAnsi="Cambria Math" w:cs="Cambria Math" w:eastAsiaTheme="majorEastAsia"/>
          <w:color w:val="000000"/>
          <w:sz w:val="22"/>
          <w:szCs w:val="22"/>
        </w:rPr>
        <w:instrText>‐</w:instrText>
      </w:r>
      <w:r w:rsidR="00025355">
        <w:rPr>
          <w:rStyle w:val="normaltextrun"/>
          <w:rFonts w:ascii="Arial" w:hAnsi="Arial" w:cs="Arial" w:eastAsiaTheme="majorEastAsia"/>
          <w:color w:val="000000"/>
          <w:sz w:val="22"/>
          <w:szCs w:val="22"/>
        </w:rPr>
        <w:instrText>Related Dementias and healthy ageing in Asian American, Native Hawaiian and Pacific Islanders","volume":"30","author":[{"family":"Wong","given":"Jennifer A."},{"family":"Min","given":"Deborah K."},{"family":"Kranick","given":"Julie"},{"family":"Ushasri","given":"Harini"},{"family":"Trinh</w:instrText>
      </w:r>
      <w:r w:rsidR="00025355">
        <w:rPr>
          <w:rStyle w:val="normaltextrun"/>
          <w:rFonts w:ascii="Cambria Math" w:hAnsi="Cambria Math" w:cs="Cambria Math" w:eastAsiaTheme="majorEastAsia"/>
          <w:color w:val="000000"/>
          <w:sz w:val="22"/>
          <w:szCs w:val="22"/>
        </w:rPr>
        <w:instrText>‐</w:instrText>
      </w:r>
      <w:r w:rsidR="00025355">
        <w:rPr>
          <w:rStyle w:val="normaltextrun"/>
          <w:rFonts w:ascii="Arial" w:hAnsi="Arial" w:cs="Arial" w:eastAsiaTheme="majorEastAsia"/>
          <w:color w:val="000000"/>
          <w:sz w:val="22"/>
          <w:szCs w:val="22"/>
        </w:rPr>
        <w:instrText xml:space="preserve">Shevrin","given":"Chau"},{"family":"Kwon","given":"Simona C."}],"issued":{"date-parts":[["2022"]]}}}],"schema":"https://github.com/citation-style-language/schema/raw/master/csl-citation.json"} </w:instrText>
      </w:r>
      <w:r w:rsidR="00B048C0">
        <w:rPr>
          <w:rStyle w:val="normaltextrun"/>
          <w:rFonts w:ascii="Arial" w:hAnsi="Arial" w:cs="Arial" w:eastAsiaTheme="majorEastAsia"/>
          <w:color w:val="000000"/>
          <w:sz w:val="22"/>
          <w:szCs w:val="22"/>
        </w:rPr>
        <w:fldChar w:fldCharType="separate"/>
      </w:r>
      <w:r w:rsidRPr="00025355" w:rsidR="00025355">
        <w:rPr>
          <w:rFonts w:ascii="Arial" w:hAnsi="Arial" w:cs="Arial"/>
          <w:kern w:val="0"/>
          <w:sz w:val="22"/>
          <w:vertAlign w:val="superscript"/>
        </w:rPr>
        <w:t>93–95</w:t>
      </w:r>
      <w:r w:rsidR="00B048C0">
        <w:rPr>
          <w:rStyle w:val="normaltextrun"/>
          <w:rFonts w:ascii="Arial" w:hAnsi="Arial" w:cs="Arial" w:eastAsiaTheme="majorEastAsia"/>
          <w:color w:val="000000"/>
          <w:sz w:val="22"/>
          <w:szCs w:val="22"/>
        </w:rPr>
        <w:fldChar w:fldCharType="end"/>
      </w:r>
      <w:r w:rsidR="00FA1E00">
        <w:rPr>
          <w:rStyle w:val="normaltextrun"/>
          <w:rFonts w:ascii="Arial" w:hAnsi="Arial" w:cs="Arial" w:eastAsiaTheme="majorEastAsia"/>
          <w:color w:val="000000"/>
          <w:sz w:val="22"/>
          <w:szCs w:val="22"/>
        </w:rPr>
        <w:t xml:space="preserve"> </w:t>
      </w:r>
      <w:r w:rsidRPr="00DD3983">
        <w:rPr>
          <w:rStyle w:val="normaltextrun"/>
          <w:rFonts w:ascii="Arial" w:hAnsi="Arial" w:cs="Arial" w:eastAsiaTheme="majorEastAsia"/>
          <w:sz w:val="22"/>
          <w:szCs w:val="22"/>
          <w:lang w:val="en-US"/>
        </w:rPr>
        <w:t xml:space="preserve">AI-driven cognitive screening tools, such as the Creyos platform (formerly </w:t>
      </w:r>
      <w:r w:rsidRPr="00DD3983" w:rsidR="00875632">
        <w:rPr>
          <w:rStyle w:val="normaltextrun"/>
          <w:rFonts w:ascii="Arial" w:hAnsi="Arial" w:cs="Arial" w:eastAsiaTheme="majorEastAsia"/>
          <w:sz w:val="22"/>
          <w:szCs w:val="22"/>
          <w:lang w:val="en-US"/>
        </w:rPr>
        <w:t xml:space="preserve">known as </w:t>
      </w:r>
      <w:r w:rsidRPr="00DD3983">
        <w:rPr>
          <w:rStyle w:val="normaltextrun"/>
          <w:rFonts w:ascii="Arial" w:hAnsi="Arial" w:cs="Arial" w:eastAsiaTheme="majorEastAsia"/>
          <w:sz w:val="22"/>
          <w:szCs w:val="22"/>
          <w:lang w:val="en-US"/>
        </w:rPr>
        <w:t xml:space="preserve">Cambridge Brain Sciences), provide a validated, user-friendly approach to detecting early cognitive decline. Creyos allows individuals to complete </w:t>
      </w:r>
      <w:r w:rsidRPr="00DD3983" w:rsidR="00FC3EC9">
        <w:rPr>
          <w:rFonts w:ascii="Arial" w:hAnsi="Arial" w:cs="Arial"/>
          <w:sz w:val="22"/>
          <w:szCs w:val="22"/>
        </w:rPr>
        <w:t xml:space="preserve">quick reparative </w:t>
      </w:r>
      <w:r w:rsidRPr="00DD3983">
        <w:rPr>
          <w:rStyle w:val="normaltextrun"/>
          <w:rFonts w:ascii="Arial" w:hAnsi="Arial" w:cs="Arial" w:eastAsiaTheme="majorEastAsia"/>
          <w:sz w:val="22"/>
          <w:szCs w:val="22"/>
          <w:lang w:val="en-US"/>
        </w:rPr>
        <w:t xml:space="preserve">cognitive assessments remotely, enabling widespread screening while reducing the </w:t>
      </w:r>
      <w:r w:rsidRPr="003F2ADA">
        <w:rPr>
          <w:rStyle w:val="normaltextrun"/>
          <w:rFonts w:ascii="Arial" w:hAnsi="Arial" w:cs="Arial" w:eastAsiaTheme="majorEastAsia"/>
          <w:sz w:val="22"/>
          <w:szCs w:val="22"/>
          <w:lang w:val="en-US"/>
        </w:rPr>
        <w:t>burden on healthcare facilities</w:t>
      </w:r>
      <w:r w:rsidR="001843E3">
        <w:rPr>
          <w:rStyle w:val="normaltextrun"/>
          <w:rFonts w:ascii="Arial" w:hAnsi="Arial" w:cs="Arial" w:eastAsiaTheme="majorEastAsia"/>
          <w:sz w:val="22"/>
          <w:szCs w:val="22"/>
          <w:lang w:val="en-US"/>
        </w:rPr>
        <w:t>.</w:t>
      </w:r>
      <w:r w:rsidRPr="00DD3983" w:rsidR="00B67C7D">
        <w:rPr>
          <w:rStyle w:val="normaltextrun"/>
          <w:rFonts w:ascii="Arial" w:hAnsi="Arial" w:cs="Arial" w:eastAsiaTheme="majorEastAsia"/>
          <w:sz w:val="22"/>
          <w:szCs w:val="22"/>
          <w:lang w:val="en-US"/>
        </w:rPr>
        <w:fldChar w:fldCharType="begin"/>
      </w:r>
      <w:r w:rsidR="00025355">
        <w:rPr>
          <w:rStyle w:val="normaltextrun"/>
          <w:rFonts w:ascii="Arial" w:hAnsi="Arial" w:cs="Arial" w:eastAsiaTheme="majorEastAsia"/>
          <w:sz w:val="22"/>
          <w:szCs w:val="22"/>
          <w:lang w:val="en-US"/>
        </w:rPr>
        <w:instrText xml:space="preserve"> ADDIN ZOTERO_ITEM CSL_CITATION {"citationID":"yRhSqOyA","properties":{"formattedCitation":"\\super 96\\nosupersub{}","plainCitation":"96","noteIndex":0},"citationItems":[{"id":"7XVybpWP/prbsYzEz","uris":["http://zotero.org/users/14808074/items/YSWI9TXW"],"itemData":{"id":1038,"type":"webpage","abstract":"Introducing the Creyos cognitive screen, dementia protocol, and care plan. Learn about the capabilities, science behind the solution, and benefits.","language":"en","title":"Introducing Creyos' Dementia Screen &amp; Cognitive Care Plan","URL":"https://creyos.com/blog/cognitive-screen","accessed":{"date-parts":[["2025",3,16]]}}}],"schema":"https://github.com/citation-style-language/schema/raw/master/csl-citation.json"} </w:instrText>
      </w:r>
      <w:r w:rsidRPr="00DD3983" w:rsidR="00B67C7D">
        <w:rPr>
          <w:rStyle w:val="normaltextrun"/>
          <w:rFonts w:ascii="Arial" w:hAnsi="Arial" w:cs="Arial" w:eastAsiaTheme="majorEastAsia"/>
          <w:sz w:val="22"/>
          <w:szCs w:val="22"/>
          <w:lang w:val="en-US"/>
        </w:rPr>
        <w:fldChar w:fldCharType="separate"/>
      </w:r>
      <w:r w:rsidRPr="00025355" w:rsidR="00025355">
        <w:rPr>
          <w:rFonts w:ascii="Arial" w:hAnsi="Arial" w:cs="Arial"/>
          <w:kern w:val="0"/>
          <w:sz w:val="22"/>
          <w:vertAlign w:val="superscript"/>
        </w:rPr>
        <w:t>96</w:t>
      </w:r>
      <w:r w:rsidRPr="00DD3983" w:rsidR="00B67C7D">
        <w:rPr>
          <w:rStyle w:val="normaltextrun"/>
          <w:rFonts w:ascii="Arial" w:hAnsi="Arial" w:cs="Arial" w:eastAsiaTheme="majorEastAsia"/>
          <w:sz w:val="22"/>
          <w:szCs w:val="22"/>
          <w:lang w:val="en-US"/>
        </w:rPr>
        <w:fldChar w:fldCharType="end"/>
      </w:r>
      <w:r w:rsidRPr="003F2ADA">
        <w:rPr>
          <w:rStyle w:val="normaltextrun"/>
          <w:rFonts w:ascii="Arial" w:hAnsi="Arial" w:cs="Arial" w:eastAsiaTheme="majorEastAsia"/>
          <w:sz w:val="22"/>
          <w:szCs w:val="22"/>
          <w:lang w:val="en-US"/>
        </w:rPr>
        <w:t xml:space="preserve"> In addition, AI-powered decision-support systems can assist primary care physicians in interpreting test results</w:t>
      </w:r>
      <w:r w:rsidR="00987A24">
        <w:rPr>
          <w:rStyle w:val="normaltextrun"/>
          <w:rFonts w:ascii="Arial" w:hAnsi="Arial" w:cs="Arial" w:eastAsiaTheme="majorEastAsia"/>
          <w:sz w:val="22"/>
          <w:szCs w:val="22"/>
          <w:lang w:val="en-US"/>
        </w:rPr>
        <w:t xml:space="preserve"> thereby reducing interrater variability</w:t>
      </w:r>
      <w:r w:rsidRPr="003F2ADA">
        <w:rPr>
          <w:rStyle w:val="normaltextrun"/>
          <w:rFonts w:ascii="Arial" w:hAnsi="Arial" w:cs="Arial" w:eastAsiaTheme="majorEastAsia"/>
          <w:sz w:val="22"/>
          <w:szCs w:val="22"/>
          <w:lang w:val="en-US"/>
        </w:rPr>
        <w:t>, identifying high-risk individuals and streamlining specialist referrals. </w:t>
      </w:r>
      <w:r w:rsidRPr="003F2ADA">
        <w:rPr>
          <w:rStyle w:val="eop"/>
          <w:rFonts w:ascii="Arial" w:hAnsi="Arial" w:cs="Arial" w:eastAsiaTheme="majorEastAsia"/>
          <w:sz w:val="22"/>
          <w:szCs w:val="22"/>
        </w:rPr>
        <w:t> </w:t>
      </w:r>
      <w:r w:rsidRPr="003F2ADA" w:rsidR="00A018E2">
        <w:rPr>
          <w:rFonts w:ascii="Arial" w:hAnsi="Arial" w:cs="Arial"/>
          <w:sz w:val="22"/>
          <w:szCs w:val="22"/>
        </w:rPr>
        <w:t xml:space="preserve"> </w:t>
      </w:r>
      <w:r w:rsidRPr="003F2ADA" w:rsidR="00A018E2">
        <w:rPr>
          <w:rFonts w:ascii="Arial" w:hAnsi="Arial" w:eastAsia="Times New Roman" w:cs="Arial"/>
          <w:kern w:val="0"/>
          <w:sz w:val="22"/>
          <w:szCs w:val="22"/>
          <w:lang w:val="en-US"/>
          <w14:ligatures w14:val="none"/>
        </w:rPr>
        <w:t>By minimizing reliance on subjective interpretation, these tools help reduce integrated bias and provider error, leading to more equitable and accurate diagnoses.</w:t>
      </w:r>
    </w:p>
    <w:p w:rsidRPr="00DD3983" w:rsidR="00416209" w:rsidP="00993411" w:rsidRDefault="00416209" w14:paraId="649B5C4E" w14:textId="25788E80">
      <w:pPr>
        <w:pStyle w:val="paragraph"/>
        <w:spacing w:before="0" w:after="0"/>
        <w:jc w:val="both"/>
        <w:textAlignment w:val="baseline"/>
        <w:rPr>
          <w:rFonts w:ascii="Arial" w:hAnsi="Arial" w:cs="Arial"/>
          <w:sz w:val="22"/>
          <w:szCs w:val="22"/>
        </w:rPr>
      </w:pPr>
      <w:r w:rsidRPr="00DD3983">
        <w:rPr>
          <w:rStyle w:val="normaltextrun"/>
          <w:rFonts w:ascii="Arial" w:hAnsi="Arial" w:cs="Arial" w:eastAsiaTheme="majorEastAsia"/>
          <w:sz w:val="22"/>
          <w:szCs w:val="22"/>
          <w:lang w:val="en-US"/>
        </w:rPr>
        <w:t xml:space="preserve">To maximize effectiveness, AI-driven cognitive screening should be offered starting at </w:t>
      </w:r>
      <w:r w:rsidRPr="00DD3983" w:rsidR="00AC4759">
        <w:rPr>
          <w:rStyle w:val="normaltextrun"/>
          <w:rFonts w:ascii="Arial" w:hAnsi="Arial" w:cs="Arial" w:eastAsiaTheme="majorEastAsia"/>
          <w:sz w:val="22"/>
          <w:szCs w:val="22"/>
          <w:lang w:val="en-US"/>
        </w:rPr>
        <w:t>the</w:t>
      </w:r>
      <w:r w:rsidRPr="00DD3983">
        <w:rPr>
          <w:rStyle w:val="normaltextrun"/>
          <w:rFonts w:ascii="Arial" w:hAnsi="Arial" w:cs="Arial" w:eastAsiaTheme="majorEastAsia"/>
          <w:sz w:val="22"/>
          <w:szCs w:val="22"/>
          <w:lang w:val="en-US"/>
        </w:rPr>
        <w:t xml:space="preserve"> age </w:t>
      </w:r>
      <w:r w:rsidRPr="00DD3983" w:rsidR="00AC4759">
        <w:rPr>
          <w:rStyle w:val="normaltextrun"/>
          <w:rFonts w:ascii="Arial" w:hAnsi="Arial" w:cs="Arial" w:eastAsiaTheme="majorEastAsia"/>
          <w:sz w:val="22"/>
          <w:szCs w:val="22"/>
          <w:lang w:val="en-US"/>
        </w:rPr>
        <w:t>of</w:t>
      </w:r>
      <w:r w:rsidRPr="00DD3983">
        <w:rPr>
          <w:rStyle w:val="normaltextrun"/>
          <w:rFonts w:ascii="Arial" w:hAnsi="Arial" w:cs="Arial" w:eastAsiaTheme="majorEastAsia"/>
          <w:sz w:val="22"/>
          <w:szCs w:val="22"/>
          <w:lang w:val="en-US"/>
        </w:rPr>
        <w:t xml:space="preserve"> 40 and repeated every two to three years. This threshold is based on the typical onset patterns of AD. Sporadic AD, which accounts for the majority of cases, typically manifests after age 65, but pathological changes in the brain begin decades earlier</w:t>
      </w:r>
      <w:r w:rsidR="001843E3">
        <w:rPr>
          <w:rStyle w:val="normaltextrun"/>
          <w:rFonts w:ascii="Arial" w:hAnsi="Arial" w:cs="Arial" w:eastAsiaTheme="majorEastAsia"/>
          <w:sz w:val="22"/>
          <w:szCs w:val="22"/>
          <w:lang w:val="en-US"/>
        </w:rPr>
        <w:t>.</w:t>
      </w:r>
      <w:r w:rsidRPr="00DD3983" w:rsidR="00322EA2">
        <w:rPr>
          <w:rStyle w:val="normaltextrun"/>
          <w:rFonts w:ascii="Arial" w:hAnsi="Arial" w:cs="Arial" w:eastAsiaTheme="majorEastAsia"/>
          <w:sz w:val="22"/>
          <w:szCs w:val="22"/>
          <w:lang w:val="en-US"/>
        </w:rPr>
        <w:fldChar w:fldCharType="begin"/>
      </w:r>
      <w:r w:rsidR="00025355">
        <w:rPr>
          <w:rStyle w:val="normaltextrun"/>
          <w:rFonts w:ascii="Arial" w:hAnsi="Arial" w:cs="Arial" w:eastAsiaTheme="majorEastAsia"/>
          <w:sz w:val="22"/>
          <w:szCs w:val="22"/>
          <w:lang w:val="en-US"/>
        </w:rPr>
        <w:instrText xml:space="preserve"> ADDIN ZOTERO_ITEM CSL_CITATION {"citationID":"sAjT4dU6","properties":{"formattedCitation":"\\super 97,98\\nosupersub{}","plainCitation":"97,98","noteIndex":0},"citationItems":[{"id":"7XVybpWP/T1GwkkjD","uris":["http://zotero.org/users/14808074/items/REUKVZ9W"],"itemData":{"id":1046,"type":"chapter","abstract":"Genetic factors play a major role in determining a person's risk to develop Alzheimer's disease (AD). Rare mutations transmitted in a Mendelian fashion within affected families, for example, APP, PSEN1, and PSEN2, cause AD. In the absence of mutations in these genes, disease risk is largely determined by common polymorphisms that, in concert with each other and nongenetic risk factors, modestly impact risk for AD (e.g., the ε4-allele in APOE). Recent genome-wide screening approaches have revealed several additional AD susceptibility loci and more are likely to be discovered over the coming years. In this chapter, we review the current state of AD genetics research with a particular focus on loci that now can be considered established disease genes. In addition to reviewing the potential pathogenic relevance of these genes, we provide an outlook into the future of AD genetics research based on recent advances in high-throughput sequencing technologies.","collection-title":"Molecular Biology of Neurodegenerative Diseases","container-title":"Progress in Molecular Biology and Translational Science","note":"DOI: 10.1016/B978-0-12-385883-2.00008-4","page":"79-100","publisher":"Academic Press","source":"ScienceDirect","title":"Chapter 3 - The Genetics of Alzheimer's Disease","URL":"https://www.sciencedirect.com/science/article/pii/B9780123858832000084","volume":"107","author":[{"family":"Bertram","given":"Lars"},{"family":"Tanzi","given":"Rudolph E."}],"editor":[{"family":"Teplow","given":"David B."}],"accessed":{"date-parts":[["2025",3,17]]},"issued":{"date-parts":[["2012",1,1]]}}},{"id":"7XVybpWP/cUrZJhzk","uris":["http://zotero.org/users/14808074/items/776EL2UV"],"itemData":{"id":1044,"type":"article-journal","abstract":"An abstract is unavailable.","container-title":"Alzheimer Disease &amp; Associated Disorders","DOI":"10.1097/01.wad.0000184005.22611.cc","ISSN":"0893-0341","issue":"3","language":"en-US","page":"163","source":"journals-lww-com.proxy1.lib.uwo.ca","title":"Early-Stage and Preclinical Alzheimer Disease","volume":"19","issued":{"date-parts":[["2005",9]]}}}],"schema":"https://github.com/citation-style-language/schema/raw/master/csl-citation.json"} </w:instrText>
      </w:r>
      <w:r w:rsidRPr="00DD3983" w:rsidR="00322EA2">
        <w:rPr>
          <w:rStyle w:val="normaltextrun"/>
          <w:rFonts w:ascii="Arial" w:hAnsi="Arial" w:cs="Arial" w:eastAsiaTheme="majorEastAsia"/>
          <w:sz w:val="22"/>
          <w:szCs w:val="22"/>
          <w:lang w:val="en-US"/>
        </w:rPr>
        <w:fldChar w:fldCharType="separate"/>
      </w:r>
      <w:r w:rsidRPr="00025355" w:rsidR="00025355">
        <w:rPr>
          <w:rFonts w:ascii="Arial" w:hAnsi="Arial" w:cs="Arial"/>
          <w:sz w:val="22"/>
          <w:vertAlign w:val="superscript"/>
        </w:rPr>
        <w:t>97,98</w:t>
      </w:r>
      <w:r w:rsidRPr="00DD3983" w:rsidR="00322EA2">
        <w:rPr>
          <w:rStyle w:val="normaltextrun"/>
          <w:rFonts w:ascii="Arial" w:hAnsi="Arial" w:cs="Arial" w:eastAsiaTheme="majorEastAsia"/>
          <w:sz w:val="22"/>
          <w:szCs w:val="22"/>
          <w:lang w:val="en-US"/>
        </w:rPr>
        <w:fldChar w:fldCharType="end"/>
      </w:r>
      <w:r w:rsidRPr="00DD3983" w:rsidR="00322EA2">
        <w:rPr>
          <w:rStyle w:val="normaltextrun"/>
          <w:rFonts w:ascii="Arial" w:hAnsi="Arial" w:cs="Arial" w:eastAsiaTheme="majorEastAsia"/>
          <w:sz w:val="22"/>
          <w:szCs w:val="22"/>
          <w:lang w:val="en-US"/>
        </w:rPr>
        <w:t xml:space="preserve"> Also, </w:t>
      </w:r>
      <w:r w:rsidRPr="00DD3983">
        <w:rPr>
          <w:rStyle w:val="normaltextrun"/>
          <w:rFonts w:ascii="Arial" w:hAnsi="Arial" w:cs="Arial" w:eastAsiaTheme="majorEastAsia"/>
          <w:sz w:val="22"/>
          <w:szCs w:val="22"/>
          <w:lang w:val="en-US"/>
        </w:rPr>
        <w:t>research indicating that subtle cognitive changes associated with AD can begin decades before clinical symptoms manifest</w:t>
      </w:r>
      <w:r w:rsidR="001843E3">
        <w:rPr>
          <w:rStyle w:val="normaltextrun"/>
          <w:rFonts w:ascii="Arial" w:hAnsi="Arial" w:cs="Arial" w:eastAsiaTheme="majorEastAsia"/>
          <w:sz w:val="22"/>
          <w:szCs w:val="22"/>
          <w:lang w:val="en-US"/>
        </w:rPr>
        <w:t>.</w:t>
      </w:r>
      <w:r w:rsidRPr="00DD3983" w:rsidR="00212F90">
        <w:rPr>
          <w:rStyle w:val="normaltextrun"/>
          <w:rFonts w:ascii="Arial" w:hAnsi="Arial" w:cs="Arial" w:eastAsiaTheme="majorEastAsia"/>
          <w:sz w:val="22"/>
          <w:szCs w:val="22"/>
          <w:lang w:val="en-US"/>
        </w:rPr>
        <w:t xml:space="preserve"> </w:t>
      </w:r>
      <w:r w:rsidRPr="00DD3983" w:rsidR="00212F90">
        <w:rPr>
          <w:rStyle w:val="normaltextrun"/>
          <w:rFonts w:ascii="Arial" w:hAnsi="Arial" w:cs="Arial" w:eastAsiaTheme="majorEastAsia"/>
          <w:sz w:val="22"/>
          <w:szCs w:val="22"/>
          <w:lang w:val="en-US"/>
        </w:rPr>
        <w:fldChar w:fldCharType="begin"/>
      </w:r>
      <w:r w:rsidR="00025355">
        <w:rPr>
          <w:rStyle w:val="normaltextrun"/>
          <w:rFonts w:ascii="Arial" w:hAnsi="Arial" w:cs="Arial" w:eastAsiaTheme="majorEastAsia"/>
          <w:sz w:val="22"/>
          <w:szCs w:val="22"/>
          <w:lang w:val="en-US"/>
        </w:rPr>
        <w:instrText xml:space="preserve"> ADDIN ZOTERO_ITEM CSL_CITATION {"citationID":"QYtGr1WB","properties":{"formattedCitation":"\\super 99\\nosupersub{}","plainCitation":"99","noteIndex":0},"citationItems":[{"id":"7XVybpWP/9KbUgjoU","uris":["http://zotero.org/users/14808074/items/NFADT3ZP"],"itemData":{"id":1042,"type":"article-journal","abstract":"Abstract During the past decade, a conceptual shift occurred in the field of Alzheimer's disease (AD) considering the disease as a continuum. Thanks to evolving biomarker research and substantial discoveries, it is now possible to identify the disease even at the preclinical stage before the occurrence of the first clinical symptoms. This preclinical stage of AD has become a major research focus as the field postulates that early intervention may offer the best chance of therapeutic success. To date, very little evidence is established on this ?silent? stage of the disease. A clarification is needed about the definitions and lexicon, the limits, the natural history, the markers of progression, and the ethical consequence of detecting the disease at this asymptomatic stage. This article is aimed at addressing all the different issues by providing for each of them an updated review of the literature and evidence, with practical recommendations.","container-title":"Alzheimer's &amp; Dementia","DOI":"10.1016/j.jalz.2016.02.002","ISSN":"1552-5260","issue":"3","note":"publisher: John Wiley &amp; Sons, Ltd","page":"292-323","source":"alz-journals-onlinelibrary-wiley-com.proxy1.lib.uwo.ca (Atypon)","title":"Preclinical Alzheimer's disease: Definition, natural history, and diagnostic criteria","title-short":"Preclinical Alzheimer's disease","volume":"12","author":[{"family":"Dubois","given":"Bruno"},{"family":"Hampel","given":"Harald"},{"family":"Feldman","given":"Howard H."},{"family":"Scheltens","given":"Philip"},{"family":"Aisen","given":"Paul"},{"family":"Andrieu","given":"Sandrine"},{"family":"Bakardjian","given":"Hovagim"},{"family":"Benali","given":"Habib"},{"family":"Bertram","given":"Lars"},{"family":"Blennow","given":"Kaj"},{"family":"Broich","given":"Karl"},{"family":"Cavedo","given":"Enrica"},{"family":"Crutch","given":"Sebastian"},{"family":"Dartigues","given":"Jean-François"},{"family":"Duyckaerts","given":"Charles"},{"family":"Epelbaum","given":"Stéphane"},{"family":"Frisoni","given":"Giovanni B."},{"family":"Gauthier","given":"Serge"},{"family":"Genthon","given":"Remy"},{"family":"Gouw","given":"Alida A."},{"family":"Habert","given":"Marie-Odile"},{"family":"Holtzman","given":"David M."},{"family":"Kivipelto","given":"Miia"},{"family":"Lista","given":"Simone"},{"family":"Molinuevo","given":"José-Luis"},{"family":"O'Bryant","given":"Sid E."},{"family":"Rabinovici","given":"Gil D."},{"family":"Rowe","given":"Christopher"},{"family":"Salloway","given":"Stephen"},{"family":"Schneider","given":"Lon S."},{"family":"Sperling","given":"Reisa"},{"family":"Teichmann","given":"Marc"},{"family":"Carrillo","given":"Maria C."},{"family":"Cummings","given":"Jeffrey"},{"family":"Jack Jr","given":"Cliff R."},{"family":"Proceedings of the Meeting of the International Working Group (IWG) and the American Alzheimer's Association on “The Preclinical State of AD”; July 23","given":"2015; Washington DC","suffix":"USA"}],"issued":{"date-parts":[["2016",3]]}}}],"schema":"https://github.com/citation-style-language/schema/raw/master/csl-citation.json"} </w:instrText>
      </w:r>
      <w:r w:rsidRPr="00DD3983" w:rsidR="00212F90">
        <w:rPr>
          <w:rStyle w:val="normaltextrun"/>
          <w:rFonts w:ascii="Arial" w:hAnsi="Arial" w:cs="Arial" w:eastAsiaTheme="majorEastAsia"/>
          <w:sz w:val="22"/>
          <w:szCs w:val="22"/>
          <w:lang w:val="en-US"/>
        </w:rPr>
        <w:fldChar w:fldCharType="separate"/>
      </w:r>
      <w:r w:rsidRPr="00025355" w:rsidR="00025355">
        <w:rPr>
          <w:rFonts w:ascii="Arial" w:hAnsi="Arial" w:cs="Arial"/>
          <w:sz w:val="22"/>
          <w:vertAlign w:val="superscript"/>
        </w:rPr>
        <w:t>99</w:t>
      </w:r>
      <w:r w:rsidRPr="00DD3983" w:rsidR="00212F90">
        <w:rPr>
          <w:rStyle w:val="normaltextrun"/>
          <w:rFonts w:ascii="Arial" w:hAnsi="Arial" w:cs="Arial" w:eastAsiaTheme="majorEastAsia"/>
          <w:sz w:val="22"/>
          <w:szCs w:val="22"/>
          <w:lang w:val="en-US"/>
        </w:rPr>
        <w:fldChar w:fldCharType="end"/>
      </w:r>
      <w:r w:rsidRPr="00DD3983" w:rsidR="006C333C">
        <w:rPr>
          <w:rStyle w:val="normaltextrun"/>
          <w:rFonts w:ascii="Arial" w:hAnsi="Arial" w:cs="Arial" w:eastAsiaTheme="majorEastAsia"/>
          <w:sz w:val="22"/>
          <w:szCs w:val="22"/>
          <w:lang w:val="en-US"/>
        </w:rPr>
        <w:t xml:space="preserve"> </w:t>
      </w:r>
      <w:r w:rsidRPr="00DD3983">
        <w:rPr>
          <w:rStyle w:val="normaltextrun"/>
          <w:rFonts w:ascii="Arial" w:hAnsi="Arial" w:cs="Arial" w:eastAsiaTheme="majorEastAsia"/>
          <w:sz w:val="22"/>
          <w:szCs w:val="22"/>
          <w:lang w:val="en-US"/>
        </w:rPr>
        <w:t>Detecting cognitive decline in midlife allows for earlier intervention, including lifestyle modifications and clinical monitoring, which can delay disease progression.</w:t>
      </w:r>
    </w:p>
    <w:p w:rsidRPr="00DD3983" w:rsidR="00416209" w:rsidP="00993411" w:rsidRDefault="00416209" w14:paraId="3731114D" w14:textId="44C60F93">
      <w:pPr>
        <w:pStyle w:val="paragraph"/>
        <w:spacing w:before="0" w:after="0"/>
        <w:jc w:val="both"/>
        <w:textAlignment w:val="baseline"/>
        <w:rPr>
          <w:rFonts w:ascii="Arial" w:hAnsi="Arial" w:cs="Arial"/>
          <w:sz w:val="22"/>
          <w:szCs w:val="22"/>
        </w:rPr>
      </w:pPr>
      <w:r w:rsidRPr="00DD3983">
        <w:rPr>
          <w:rStyle w:val="normaltextrun"/>
          <w:rFonts w:ascii="Arial" w:hAnsi="Arial" w:cs="Arial" w:eastAsiaTheme="majorEastAsia"/>
          <w:sz w:val="22"/>
          <w:szCs w:val="22"/>
          <w:lang w:val="en-US"/>
        </w:rPr>
        <w:t xml:space="preserve">Additionally, although sporadic AD is the most common form, familial AD (fAD) accounts for less than </w:t>
      </w:r>
      <w:r w:rsidR="008A1F70">
        <w:rPr>
          <w:rStyle w:val="normaltextrun"/>
          <w:rFonts w:ascii="Arial" w:hAnsi="Arial" w:cs="Arial" w:eastAsiaTheme="majorEastAsia"/>
          <w:sz w:val="22"/>
          <w:szCs w:val="22"/>
          <w:lang w:val="en-US"/>
        </w:rPr>
        <w:t>5</w:t>
      </w:r>
      <w:r w:rsidRPr="00DD3983">
        <w:rPr>
          <w:rStyle w:val="normaltextrun"/>
          <w:rFonts w:ascii="Arial" w:hAnsi="Arial" w:cs="Arial" w:eastAsiaTheme="majorEastAsia"/>
          <w:sz w:val="22"/>
          <w:szCs w:val="22"/>
          <w:lang w:val="en-US"/>
        </w:rPr>
        <w:t>% of all cases and follows a classic Mendelian autosomal dominant inheritance pattern, often presenting before the age of 65</w:t>
      </w:r>
      <w:r w:rsidR="001843E3">
        <w:rPr>
          <w:rStyle w:val="normaltextrun"/>
          <w:rFonts w:ascii="Arial" w:hAnsi="Arial" w:cs="Arial" w:eastAsiaTheme="majorEastAsia"/>
          <w:sz w:val="22"/>
          <w:szCs w:val="22"/>
          <w:lang w:val="en-US"/>
        </w:rPr>
        <w:t>.</w:t>
      </w:r>
      <w:r w:rsidRPr="00DD3983" w:rsidR="000160E0">
        <w:rPr>
          <w:rStyle w:val="normaltextrun"/>
          <w:rFonts w:ascii="Arial" w:hAnsi="Arial" w:cs="Arial" w:eastAsiaTheme="majorEastAsia"/>
          <w:sz w:val="22"/>
          <w:szCs w:val="22"/>
          <w:lang w:val="en-US"/>
        </w:rPr>
        <w:fldChar w:fldCharType="begin"/>
      </w:r>
      <w:r w:rsidR="00025355">
        <w:rPr>
          <w:rStyle w:val="normaltextrun"/>
          <w:rFonts w:ascii="Arial" w:hAnsi="Arial" w:cs="Arial" w:eastAsiaTheme="majorEastAsia"/>
          <w:sz w:val="22"/>
          <w:szCs w:val="22"/>
          <w:lang w:val="en-US"/>
        </w:rPr>
        <w:instrText xml:space="preserve"> ADDIN ZOTERO_ITEM CSL_CITATION {"citationID":"jNJFCYBX","properties":{"formattedCitation":"\\super 97\\nosupersub{}","plainCitation":"97","noteIndex":0},"citationItems":[{"id":"7XVybpWP/T1GwkkjD","uris":["http://zotero.org/users/14808074/items/REUKVZ9W"],"itemData":{"id":1046,"type":"chapter","abstract":"Genetic factors play a major role in determining a person's risk to develop Alzheimer's disease (AD). Rare mutations transmitted in a Mendelian fashion within affected families, for example, APP, PSEN1, and PSEN2, cause AD. In the absence of mutations in these genes, disease risk is largely determined by common polymorphisms that, in concert with each other and nongenetic risk factors, modestly impact risk for AD (e.g., the ε4-allele in APOE). Recent genome-wide screening approaches have revealed several additional AD susceptibility loci and more are likely to be discovered over the coming years. In this chapter, we review the current state of AD genetics research with a particular focus on loci that now can be considered established disease genes. In addition to reviewing the potential pathogenic relevance of these genes, we provide an outlook into the future of AD genetics research based on recent advances in high-throughput sequencing technologies.","collection-title":"Molecular Biology of Neurodegenerative Diseases","container-title":"Progress in Molecular Biology and Translational Science","note":"DOI: 10.1016/B978-0-12-385883-2.00008-4","page":"79-100","publisher":"Academic Press","source":"ScienceDirect","title":"Chapter 3 - The Genetics of Alzheimer's Disease","URL":"https://www.sciencedirect.com/science/article/pii/B9780123858832000084","volume":"107","author":[{"family":"Bertram","given":"Lars"},{"family":"Tanzi","given":"Rudolph E."}],"editor":[{"family":"Teplow","given":"David B."}],"accessed":{"date-parts":[["2025",3,17]]},"issued":{"date-parts":[["2012",1,1]]}}}],"schema":"https://github.com/citation-style-language/schema/raw/master/csl-citation.json"} </w:instrText>
      </w:r>
      <w:r w:rsidRPr="00DD3983" w:rsidR="000160E0">
        <w:rPr>
          <w:rStyle w:val="normaltextrun"/>
          <w:rFonts w:ascii="Arial" w:hAnsi="Arial" w:cs="Arial" w:eastAsiaTheme="majorEastAsia"/>
          <w:sz w:val="22"/>
          <w:szCs w:val="22"/>
          <w:lang w:val="en-US"/>
        </w:rPr>
        <w:fldChar w:fldCharType="separate"/>
      </w:r>
      <w:r w:rsidRPr="00025355" w:rsidR="00025355">
        <w:rPr>
          <w:rFonts w:ascii="Arial" w:hAnsi="Arial" w:cs="Arial"/>
          <w:sz w:val="22"/>
          <w:vertAlign w:val="superscript"/>
        </w:rPr>
        <w:t>97</w:t>
      </w:r>
      <w:r w:rsidRPr="00DD3983" w:rsidR="000160E0">
        <w:rPr>
          <w:rStyle w:val="normaltextrun"/>
          <w:rFonts w:ascii="Arial" w:hAnsi="Arial" w:cs="Arial" w:eastAsiaTheme="majorEastAsia"/>
          <w:sz w:val="22"/>
          <w:szCs w:val="22"/>
          <w:lang w:val="en-US"/>
        </w:rPr>
        <w:fldChar w:fldCharType="end"/>
      </w:r>
      <w:r w:rsidRPr="00DD3983">
        <w:rPr>
          <w:rStyle w:val="normaltextrun"/>
          <w:rFonts w:ascii="Arial" w:hAnsi="Arial" w:cs="Arial" w:eastAsiaTheme="majorEastAsia"/>
          <w:sz w:val="22"/>
          <w:szCs w:val="22"/>
          <w:lang w:val="en-US"/>
        </w:rPr>
        <w:t xml:space="preserve"> Individuals with a family history of fAD are at particularly high risk and may benefit from earlier and more frequent cognitive screening. For these individuals, initiating screening at age 40 could provide valuable opportunities for early intervention and monitoring. More frequent testing may also be warranted for those with other known risk factors, such as the presence of the APOE ε4 allele.</w:t>
      </w:r>
    </w:p>
    <w:p w:rsidRPr="00DD3983" w:rsidR="00416209" w:rsidP="00993411" w:rsidRDefault="00416209" w14:paraId="4D29CBA0" w14:textId="6A93DEFE">
      <w:pPr>
        <w:pStyle w:val="paragraph"/>
        <w:spacing w:before="0" w:after="0"/>
        <w:jc w:val="both"/>
        <w:textAlignment w:val="baseline"/>
        <w:rPr>
          <w:rFonts w:ascii="Arial" w:hAnsi="Arial" w:cs="Arial"/>
          <w:sz w:val="22"/>
          <w:szCs w:val="22"/>
        </w:rPr>
      </w:pPr>
      <w:r w:rsidRPr="00DD3983">
        <w:rPr>
          <w:rStyle w:val="normaltextrun"/>
          <w:rFonts w:ascii="Arial" w:hAnsi="Arial" w:cs="Arial" w:eastAsiaTheme="majorEastAsia"/>
          <w:sz w:val="22"/>
          <w:szCs w:val="22"/>
          <w:lang w:val="en-US"/>
        </w:rPr>
        <w:t>Integrating digital screening tools into routine primary care visits would improve early detection rates, reduce diagnostic delays, and support long-term cognitive monitoring. By tailoring screening approaches based on individual risk factors, healthcare systems can enhance the effectiveness of AD prevention and early intervention strategies.</w:t>
      </w:r>
    </w:p>
    <w:p w:rsidRPr="00D0079A" w:rsidR="00416209" w:rsidP="00993411" w:rsidRDefault="00416209" w14:paraId="57759BF4" w14:textId="66D2289E">
      <w:pPr>
        <w:pStyle w:val="Heading3"/>
        <w:spacing w:before="0" w:after="0"/>
      </w:pPr>
      <w:r w:rsidRPr="00754706">
        <w:rPr>
          <w:rStyle w:val="normaltextrun"/>
        </w:rPr>
        <w:t>Personalized Risk-Based Screening Pathways</w:t>
      </w:r>
    </w:p>
    <w:p w:rsidRPr="00DD3983" w:rsidR="00416209" w:rsidP="00993411" w:rsidRDefault="00416209" w14:paraId="55ECCFE2" w14:textId="333DEF1B">
      <w:pPr>
        <w:pStyle w:val="paragraph"/>
        <w:spacing w:before="0" w:beforeAutospacing="0" w:after="0" w:afterAutospacing="0"/>
        <w:jc w:val="both"/>
        <w:textAlignment w:val="baseline"/>
        <w:rPr>
          <w:rFonts w:ascii="Arial" w:hAnsi="Arial" w:cs="Arial"/>
          <w:sz w:val="22"/>
          <w:szCs w:val="22"/>
        </w:rPr>
      </w:pPr>
      <w:r w:rsidRPr="00DD3983">
        <w:rPr>
          <w:rStyle w:val="normaltextrun"/>
          <w:rFonts w:ascii="Arial" w:hAnsi="Arial" w:cs="Arial" w:eastAsiaTheme="majorEastAsia"/>
          <w:sz w:val="22"/>
          <w:szCs w:val="22"/>
          <w:lang w:val="en-US"/>
        </w:rPr>
        <w:t>A standardized approach to AD diagnosis may overlook individuals with higher genetic or lifestyle-related risks. The U.S. POINTER study has demonstrated that personalized interventions based on factors such as APOE genotype, cardiovascular health, and lifestyle can help slow cognitive decline and potentially delay the onset of dementia</w:t>
      </w:r>
      <w:r w:rsidR="001843E3">
        <w:rPr>
          <w:rStyle w:val="normaltextrun"/>
          <w:rFonts w:ascii="Arial" w:hAnsi="Arial" w:cs="Arial" w:eastAsiaTheme="majorEastAsia"/>
          <w:sz w:val="22"/>
          <w:szCs w:val="22"/>
          <w:lang w:val="en-US"/>
        </w:rPr>
        <w:t>.</w:t>
      </w:r>
      <w:r w:rsidRPr="00DD3983" w:rsidR="004A1017">
        <w:rPr>
          <w:rStyle w:val="normaltextrun"/>
          <w:rFonts w:ascii="Arial" w:hAnsi="Arial" w:cs="Arial" w:eastAsiaTheme="majorEastAsia"/>
          <w:sz w:val="22"/>
          <w:szCs w:val="22"/>
          <w:lang w:val="en-US"/>
        </w:rPr>
        <w:fldChar w:fldCharType="begin"/>
      </w:r>
      <w:r w:rsidR="00025355">
        <w:rPr>
          <w:rStyle w:val="normaltextrun"/>
          <w:rFonts w:ascii="Arial" w:hAnsi="Arial" w:cs="Arial" w:eastAsiaTheme="majorEastAsia"/>
          <w:sz w:val="22"/>
          <w:szCs w:val="22"/>
          <w:lang w:val="en-US"/>
        </w:rPr>
        <w:instrText xml:space="preserve"> ADDIN ZOTERO_ITEM CSL_CITATION {"citationID":"g7KyodCg","properties":{"formattedCitation":"\\super 100\\nosupersub{}","plainCitation":"100","noteIndex":0},"citationItems":[{"id":"7XVybpWP/3AhcX0WY","uris":["http://zotero.org/users/14808074/items/NNJBJIE7"],"itemData":{"id":1040,"type":"article-journal","abstract":"Abstract INTRODUCTION The U.S. study to protect brain health through lifestyle intervention to reduce risk (U.S. POINTER) is conducted to confirm and expand the results of the Finnish Geriatric Intervention Study to Prevent Cognitive Impairment and Disability (FINGER) in Americans. METHODS U.S. POINTER was planned as a 2-year randomized controlled trial of two lifestyle interventions in 2000 older adults at risk for dementia due to well-established factors. The primary outcome is a global cognition composite that permits harmonization with FINGER. RESULTS U.S. POINTER is centrally coordinated and conducted at five clinical sites (ClinicalTrials.gov: NCT03688126). Outcomes assessments are completed at baseline and every 6 months. Both interventions focus on exercise, diet, cognitive/social stimulation, and cardiovascular health, but differ in intensity and accountability. The study partners with a worldwide network of similar trials for harmonization of methods and data sharing. DISCUSSION U.S. POINTER is testing a potentially sustainable intervention to support brain health and Alzheimer's prevention for Americans. Impact is strengthened by the targeted participant diversity and expanded scientific scope through ancillary studies.","container-title":"Alzheimer's &amp; Dementia","DOI":"10.1002/alz.13365","ISSN":"1552-5260","issue":"2","note":"publisher: John Wiley &amp; Sons, Ltd","page":"769-782","source":"alz-journals-onlinelibrary-wiley-com.proxy1.lib.uwo.ca (Atypon)","title":"Study design and methods: U.S. study to protect brain health through lifestyle intervention to reduce risk (U.S. POINTER)","title-short":"Study design and methods","volume":"20","author":[{"family":"Baker","given":"Laura D."},{"family":"Snyder","given":"Heather M."},{"family":"Espeland","given":"Mark A."},{"family":"Whitmer","given":"Rachel A."},{"family":"Kivipelto","given":"Miia"},{"family":"Woolard","given":"Nancy"},{"family":"Katula","given":"Jeffrey"},{"family":"Papp","given":"Kathryn V."},{"family":"Ventrelle","given":"Jennifer"},{"family":"Graef","given":"Sarah"},{"family":"Hill","given":"Marcus A."},{"family":"Rushing","given":"Scott"},{"family":"Spell","given":"Julia"},{"family":"Lovato","given":"Laura"},{"family":"Felton","given":"Deborah"},{"family":"Williams","given":"Benjamin J."},{"family":"Ghadimi Nouran","given":"Mina"},{"family":"Raman","given":"Rema"},{"family":"Ngandu","given":"Tiia"},{"family":"Solomon","given":"Alina"},{"family":"Wilmoth","given":"Sharon"},{"family":"Cleveland","given":"Maryjo L."},{"family":"Williamson","given":"Jeff D."},{"family":"Lambert","given":"Katherine L."},{"family":"Tomaszewski Farias","given":"Sarah"},{"family":"Day","given":"Claire E."},{"family":"Tangney","given":"Christy C."},{"family":"Gitelman","given":"Darren R."},{"family":"Matongo","given":"Olivia"},{"family":"Reynolds","given":"Terrianne"},{"family":"Pavlik","given":"Valory N."},{"family":"Yu","given":"Melissa M."},{"family":"Alexander","given":"Ashley S."},{"family":"Elbein","given":"Richard"},{"family":"McDonald","given":"Ann Marie"},{"family":"Salloway","given":"Stephen"},{"family":"Wing","given":"Rena R."},{"family":"Antkowiak","given":"Susan"},{"family":"Morris","given":"Martha Clare"},{"family":"Carrillo","given":"Maria C."},{"family":"for","given":"the U. S. POINTER Study Group"}],"issued":{"date-parts":[["2024",2]]}}}],"schema":"https://github.com/citation-style-language/schema/raw/master/csl-citation.json"} </w:instrText>
      </w:r>
      <w:r w:rsidRPr="00DD3983" w:rsidR="004A1017">
        <w:rPr>
          <w:rStyle w:val="normaltextrun"/>
          <w:rFonts w:ascii="Arial" w:hAnsi="Arial" w:cs="Arial" w:eastAsiaTheme="majorEastAsia"/>
          <w:sz w:val="22"/>
          <w:szCs w:val="22"/>
          <w:lang w:val="en-US"/>
        </w:rPr>
        <w:fldChar w:fldCharType="separate"/>
      </w:r>
      <w:r w:rsidRPr="00025355" w:rsidR="00025355">
        <w:rPr>
          <w:rFonts w:ascii="Arial" w:hAnsi="Arial" w:cs="Arial"/>
          <w:sz w:val="22"/>
          <w:vertAlign w:val="superscript"/>
        </w:rPr>
        <w:t>100</w:t>
      </w:r>
      <w:r w:rsidRPr="00DD3983" w:rsidR="004A1017">
        <w:rPr>
          <w:rStyle w:val="normaltextrun"/>
          <w:rFonts w:ascii="Arial" w:hAnsi="Arial" w:cs="Arial" w:eastAsiaTheme="majorEastAsia"/>
          <w:sz w:val="22"/>
          <w:szCs w:val="22"/>
          <w:lang w:val="en-US"/>
        </w:rPr>
        <w:fldChar w:fldCharType="end"/>
      </w:r>
      <w:r w:rsidRPr="00DD3983">
        <w:rPr>
          <w:rStyle w:val="normaltextrun"/>
          <w:rFonts w:ascii="Arial" w:hAnsi="Arial" w:cs="Arial" w:eastAsiaTheme="majorEastAsia"/>
          <w:sz w:val="22"/>
          <w:szCs w:val="22"/>
          <w:lang w:val="en-US"/>
        </w:rPr>
        <w:t xml:space="preserve"> Implementing a similar risk-stratified screening model would ensure that high-risk individuals receive targeted cognitive assessments and early interventions. This approach would optimize resource allocation, ensuring that those at the greatest risk receive timely support while reducing unnecessary testing for lower-risk populations. Additionally, incorporating lifestyle modification programs alongside cognitive screening could enhance prevention efforts and improve long-term health outcomes.</w:t>
      </w:r>
    </w:p>
    <w:p w:rsidRPr="00DD3983" w:rsidR="00416209" w:rsidP="00416209" w:rsidRDefault="00416209" w14:paraId="73379FA0" w14:textId="15FA89F1">
      <w:pPr>
        <w:pStyle w:val="paragraph"/>
        <w:spacing w:before="0" w:after="0"/>
        <w:jc w:val="both"/>
        <w:textAlignment w:val="baseline"/>
        <w:rPr>
          <w:rFonts w:ascii="Arial" w:hAnsi="Arial" w:cs="Arial"/>
          <w:sz w:val="22"/>
          <w:szCs w:val="22"/>
        </w:rPr>
      </w:pPr>
      <w:r w:rsidRPr="00DD3983">
        <w:rPr>
          <w:rStyle w:val="normaltextrun"/>
          <w:rFonts w:ascii="Arial" w:hAnsi="Arial" w:cs="Arial" w:eastAsiaTheme="majorEastAsia"/>
          <w:sz w:val="22"/>
          <w:szCs w:val="22"/>
          <w:lang w:val="en-US"/>
        </w:rPr>
        <w:t>By integrating AI-driven cognitive screening tools like Creyos and adopting personalized risk-based screening pathways modeled after the U.S. POINTER study, healthcare systems can improve the efficiency and accessibility of AD diagnostics. These strategies will lead to earlier intervention</w:t>
      </w:r>
      <w:r w:rsidRPr="00DD3983" w:rsidR="00626F8D">
        <w:rPr>
          <w:rStyle w:val="normaltextrun"/>
          <w:rFonts w:ascii="Arial" w:hAnsi="Arial" w:cs="Arial" w:eastAsiaTheme="majorEastAsia"/>
          <w:sz w:val="22"/>
          <w:szCs w:val="22"/>
          <w:lang w:val="en-US"/>
        </w:rPr>
        <w:t xml:space="preserve"> which</w:t>
      </w:r>
      <w:r w:rsidRPr="00DD3983">
        <w:rPr>
          <w:rStyle w:val="normaltextrun"/>
          <w:rFonts w:ascii="Arial" w:hAnsi="Arial" w:cs="Arial" w:eastAsiaTheme="majorEastAsia"/>
          <w:sz w:val="22"/>
          <w:szCs w:val="22"/>
          <w:lang w:val="en-US"/>
        </w:rPr>
        <w:t xml:space="preserve"> </w:t>
      </w:r>
      <w:r w:rsidRPr="00DD3983" w:rsidR="00626F8D">
        <w:rPr>
          <w:rStyle w:val="normaltextrun"/>
          <w:rFonts w:ascii="Arial" w:hAnsi="Arial" w:cs="Arial" w:eastAsiaTheme="majorEastAsia"/>
          <w:sz w:val="22"/>
          <w:szCs w:val="22"/>
          <w:lang w:val="en-US"/>
        </w:rPr>
        <w:t>improves</w:t>
      </w:r>
      <w:r w:rsidRPr="00DD3983">
        <w:rPr>
          <w:rStyle w:val="normaltextrun"/>
          <w:rFonts w:ascii="Arial" w:hAnsi="Arial" w:cs="Arial" w:eastAsiaTheme="majorEastAsia"/>
          <w:sz w:val="22"/>
          <w:szCs w:val="22"/>
          <w:lang w:val="en-US"/>
        </w:rPr>
        <w:t xml:space="preserve"> patient outcomes, and a reduc</w:t>
      </w:r>
      <w:r w:rsidRPr="00DD3983" w:rsidR="00626F8D">
        <w:rPr>
          <w:rStyle w:val="normaltextrun"/>
          <w:rFonts w:ascii="Arial" w:hAnsi="Arial" w:cs="Arial" w:eastAsiaTheme="majorEastAsia"/>
          <w:sz w:val="22"/>
          <w:szCs w:val="22"/>
          <w:lang w:val="en-US"/>
        </w:rPr>
        <w:t>es</w:t>
      </w:r>
      <w:r w:rsidRPr="00DD3983">
        <w:rPr>
          <w:rStyle w:val="normaltextrun"/>
          <w:rFonts w:ascii="Arial" w:hAnsi="Arial" w:cs="Arial" w:eastAsiaTheme="majorEastAsia"/>
          <w:sz w:val="22"/>
          <w:szCs w:val="22"/>
          <w:lang w:val="en-US"/>
        </w:rPr>
        <w:t xml:space="preserve"> in the overall burden of dementia care.</w:t>
      </w:r>
    </w:p>
    <w:p w:rsidRPr="00D0079A" w:rsidR="00481946" w:rsidP="00722818" w:rsidRDefault="00416209" w14:paraId="77849BD9" w14:textId="43206F4E">
      <w:pPr>
        <w:pStyle w:val="Heading2"/>
      </w:pPr>
      <w:r w:rsidRPr="00997999">
        <w:rPr>
          <w:rStyle w:val="normaltextrun"/>
        </w:rPr>
        <w:t>Recommendations for Policy</w:t>
      </w:r>
    </w:p>
    <w:p w:rsidRPr="00DD3983" w:rsidR="00416209" w:rsidP="00993411" w:rsidRDefault="00CD1E4E" w14:paraId="1DC424E7" w14:textId="2B8D7200">
      <w:pPr>
        <w:pStyle w:val="paragraph"/>
        <w:spacing w:before="0" w:beforeAutospacing="0" w:after="0" w:afterAutospacing="0"/>
        <w:jc w:val="both"/>
        <w:textAlignment w:val="baseline"/>
        <w:rPr>
          <w:rStyle w:val="eop"/>
          <w:rFonts w:ascii="Arial" w:hAnsi="Arial" w:cs="Arial" w:eastAsiaTheme="majorEastAsia"/>
          <w:color w:val="000000"/>
          <w:sz w:val="22"/>
          <w:szCs w:val="22"/>
        </w:rPr>
      </w:pPr>
      <w:r w:rsidRPr="00DD3983">
        <w:rPr>
          <w:rStyle w:val="normaltextrun"/>
          <w:rFonts w:ascii="Arial" w:hAnsi="Arial" w:cs="Arial" w:eastAsiaTheme="majorEastAsia"/>
          <w:color w:val="000000"/>
          <w:sz w:val="22"/>
          <w:szCs w:val="22"/>
          <w:lang w:val="en-US"/>
        </w:rPr>
        <w:t>Effective p</w:t>
      </w:r>
      <w:r w:rsidRPr="00DD3983" w:rsidR="00416209">
        <w:rPr>
          <w:rStyle w:val="normaltextrun"/>
          <w:rFonts w:ascii="Arial" w:hAnsi="Arial" w:cs="Arial" w:eastAsiaTheme="majorEastAsia"/>
          <w:color w:val="000000"/>
          <w:sz w:val="22"/>
          <w:szCs w:val="22"/>
          <w:lang w:val="en-US"/>
        </w:rPr>
        <w:t xml:space="preserve">olicy initiatives </w:t>
      </w:r>
      <w:r w:rsidRPr="00DD3983">
        <w:rPr>
          <w:rStyle w:val="normaltextrun"/>
          <w:rFonts w:ascii="Arial" w:hAnsi="Arial" w:cs="Arial" w:eastAsiaTheme="majorEastAsia"/>
          <w:color w:val="000000"/>
          <w:sz w:val="22"/>
          <w:szCs w:val="22"/>
          <w:lang w:val="en-US"/>
        </w:rPr>
        <w:t>may offer another avenue</w:t>
      </w:r>
      <w:r w:rsidRPr="00DD3983" w:rsidR="00A97BE7">
        <w:rPr>
          <w:rStyle w:val="normaltextrun"/>
          <w:rFonts w:ascii="Arial" w:hAnsi="Arial" w:cs="Arial" w:eastAsiaTheme="majorEastAsia"/>
          <w:color w:val="000000"/>
          <w:sz w:val="22"/>
          <w:szCs w:val="22"/>
          <w:lang w:val="en-US"/>
        </w:rPr>
        <w:t xml:space="preserve"> to improve the early detection of AD. Policy </w:t>
      </w:r>
      <w:r w:rsidRPr="00DD3983" w:rsidR="00416209">
        <w:rPr>
          <w:rStyle w:val="normaltextrun"/>
          <w:rFonts w:ascii="Arial" w:hAnsi="Arial" w:cs="Arial" w:eastAsiaTheme="majorEastAsia"/>
          <w:color w:val="000000"/>
          <w:sz w:val="22"/>
          <w:szCs w:val="22"/>
          <w:lang w:val="en-US"/>
        </w:rPr>
        <w:t xml:space="preserve">should focus on public awareness, access to screening, and diversity in clinical research. Two key strategies that have demonstrated success are public health education </w:t>
      </w:r>
      <w:r w:rsidRPr="00DD3983" w:rsidR="0099148A">
        <w:rPr>
          <w:rStyle w:val="normaltextrun"/>
          <w:rFonts w:ascii="Arial" w:hAnsi="Arial" w:cs="Arial" w:eastAsiaTheme="majorEastAsia"/>
          <w:color w:val="000000"/>
          <w:sz w:val="22"/>
          <w:szCs w:val="22"/>
          <w:lang w:val="en-US"/>
        </w:rPr>
        <w:t>with</w:t>
      </w:r>
      <w:r w:rsidRPr="00DD3983" w:rsidR="00416209">
        <w:rPr>
          <w:rStyle w:val="normaltextrun"/>
          <w:rFonts w:ascii="Arial" w:hAnsi="Arial" w:cs="Arial" w:eastAsiaTheme="majorEastAsia"/>
          <w:color w:val="000000"/>
          <w:sz w:val="22"/>
          <w:szCs w:val="22"/>
          <w:lang w:val="en-US"/>
        </w:rPr>
        <w:t xml:space="preserve"> risk factor reduction campaigns and legislative efforts to promote equity in dementia research. Programs such as the UK’s Dementia Friends initiative and the U.S. Equity in Neuroscience and Alzheimer’s Clinical Trials (ENACT) Act provide effective models that can be adapted to improve AD awareness, screening, and healthcare equity across different healthcare systems.</w:t>
      </w:r>
    </w:p>
    <w:p w:rsidRPr="00DD3983" w:rsidR="00194722" w:rsidP="006618CC" w:rsidRDefault="00194722" w14:paraId="172FB250" w14:textId="77777777">
      <w:pPr>
        <w:pStyle w:val="paragraph"/>
        <w:spacing w:before="0" w:beforeAutospacing="0" w:after="0" w:afterAutospacing="0"/>
        <w:jc w:val="both"/>
        <w:textAlignment w:val="baseline"/>
        <w:rPr>
          <w:rFonts w:ascii="Arial" w:hAnsi="Arial" w:cs="Arial"/>
          <w:sz w:val="22"/>
          <w:szCs w:val="22"/>
        </w:rPr>
      </w:pPr>
    </w:p>
    <w:p w:rsidRPr="00D0079A" w:rsidR="00416209" w:rsidP="00993411" w:rsidRDefault="00416209" w14:paraId="0F675182" w14:textId="7EC6D712">
      <w:pPr>
        <w:pStyle w:val="Heading3"/>
        <w:spacing w:before="0" w:after="0"/>
      </w:pPr>
      <w:r w:rsidRPr="00997999">
        <w:rPr>
          <w:rStyle w:val="normaltextrun"/>
        </w:rPr>
        <w:t>Public Health Education &amp; Risk Factor Reduction</w:t>
      </w:r>
      <w:r w:rsidRPr="00997999">
        <w:rPr>
          <w:rStyle w:val="eop"/>
        </w:rPr>
        <w:t> </w:t>
      </w:r>
    </w:p>
    <w:p w:rsidRPr="0073610F" w:rsidR="00416209" w:rsidP="006618CC" w:rsidRDefault="00416209" w14:paraId="0A16BFE3" w14:textId="55323949">
      <w:pPr>
        <w:pStyle w:val="paragraph"/>
        <w:spacing w:before="0" w:beforeAutospacing="0" w:after="0" w:afterAutospacing="0"/>
        <w:jc w:val="both"/>
        <w:textAlignment w:val="baseline"/>
        <w:rPr>
          <w:rStyle w:val="eop"/>
          <w:rFonts w:ascii="Arial" w:hAnsi="Arial" w:cs="Arial" w:eastAsiaTheme="majorEastAsia"/>
          <w:sz w:val="22"/>
          <w:szCs w:val="22"/>
        </w:rPr>
      </w:pPr>
      <w:r w:rsidRPr="00DD3983">
        <w:rPr>
          <w:rStyle w:val="normaltextrun"/>
          <w:rFonts w:ascii="Arial" w:hAnsi="Arial" w:cs="Arial" w:eastAsiaTheme="majorEastAsia"/>
          <w:color w:val="000000"/>
          <w:sz w:val="22"/>
          <w:szCs w:val="22"/>
          <w:lang w:val="en-US"/>
        </w:rPr>
        <w:t>Limited public awareness of AD risk factors and early symptoms contributes to delayed diagnosis and intervention. Public health education campaigns, such as the Dementia Friends initiative in the UK, have successfully increased understanding of modifiable risk factors, early symptoms, and the importance of early cognitive screening. These campaigns help reduce stigma and encourage individuals to seek medical evaluation earlier, leading to better long-term outcomes</w:t>
      </w:r>
      <w:r w:rsidR="00C77DC3">
        <w:rPr>
          <w:rStyle w:val="normaltextrun"/>
          <w:rFonts w:ascii="Arial" w:hAnsi="Arial" w:cs="Arial" w:eastAsiaTheme="majorEastAsia"/>
          <w:color w:val="000000"/>
          <w:sz w:val="22"/>
          <w:szCs w:val="22"/>
          <w:lang w:val="en-US"/>
        </w:rPr>
        <w:t>.</w:t>
      </w:r>
      <w:r w:rsidR="00A94CB4">
        <w:rPr>
          <w:rStyle w:val="normaltextrun"/>
          <w:rFonts w:ascii="Arial" w:hAnsi="Arial" w:cs="Arial" w:eastAsiaTheme="majorEastAsia"/>
          <w:color w:val="000000"/>
          <w:sz w:val="22"/>
          <w:szCs w:val="22"/>
          <w:lang w:val="en-US"/>
        </w:rPr>
        <w:fldChar w:fldCharType="begin"/>
      </w:r>
      <w:r w:rsidR="00025355">
        <w:rPr>
          <w:rStyle w:val="normaltextrun"/>
          <w:rFonts w:ascii="Arial" w:hAnsi="Arial" w:cs="Arial" w:eastAsiaTheme="majorEastAsia"/>
          <w:color w:val="000000"/>
          <w:sz w:val="22"/>
          <w:szCs w:val="22"/>
          <w:lang w:val="en-US"/>
        </w:rPr>
        <w:instrText xml:space="preserve"> ADDIN ZOTERO_ITEM CSL_CITATION {"citationID":"6NNofsxi","properties":{"formattedCitation":"\\super 101\\nosupersub{}","plainCitation":"101","noteIndex":0},"citationItems":[{"id":"7XVybpWP/GOy0KD7N","uris":["http://zotero.org/users/14808070/items/E4ZD5XCM"],"itemData":{"id":1100,"type":"webpage","abstract":"Become a Dementia Friend. Learn more about what it is like to live with dementia and turn that understanding into action.","title":"https://www.dementiafriends.org.uk/","title-short":"https","URL":"https://www.dementiafriends.org.uk/","author":[{"family":"Dementia Friends UK","given":""}],"accessed":{"date-parts":[["2025",3,25]]},"issued":{"date-parts":[["2023"]]}}}],"schema":"https://github.com/citation-style-language/schema/raw/master/csl-citation.json"} </w:instrText>
      </w:r>
      <w:r w:rsidR="00A94CB4">
        <w:rPr>
          <w:rStyle w:val="normaltextrun"/>
          <w:rFonts w:ascii="Arial" w:hAnsi="Arial" w:cs="Arial" w:eastAsiaTheme="majorEastAsia"/>
          <w:color w:val="000000"/>
          <w:sz w:val="22"/>
          <w:szCs w:val="22"/>
          <w:lang w:val="en-US"/>
        </w:rPr>
        <w:fldChar w:fldCharType="separate"/>
      </w:r>
      <w:r w:rsidRPr="00025355" w:rsidR="00025355">
        <w:rPr>
          <w:rFonts w:ascii="Arial" w:hAnsi="Arial" w:cs="Arial"/>
          <w:sz w:val="22"/>
          <w:vertAlign w:val="superscript"/>
        </w:rPr>
        <w:t>101</w:t>
      </w:r>
      <w:r w:rsidR="00A94CB4">
        <w:rPr>
          <w:rStyle w:val="normaltextrun"/>
          <w:rFonts w:ascii="Arial" w:hAnsi="Arial" w:cs="Arial" w:eastAsiaTheme="majorEastAsia"/>
          <w:color w:val="000000"/>
          <w:sz w:val="22"/>
          <w:szCs w:val="22"/>
          <w:lang w:val="en-US"/>
        </w:rPr>
        <w:fldChar w:fldCharType="end"/>
      </w:r>
      <w:r w:rsidR="0073610F">
        <w:rPr>
          <w:rFonts w:ascii="Arial" w:hAnsi="Arial" w:cs="Arial"/>
          <w:sz w:val="22"/>
          <w:szCs w:val="22"/>
        </w:rPr>
        <w:t xml:space="preserve"> </w:t>
      </w:r>
      <w:r w:rsidRPr="00DD3983">
        <w:rPr>
          <w:rStyle w:val="normaltextrun"/>
          <w:rFonts w:ascii="Arial" w:hAnsi="Arial" w:cs="Arial" w:eastAsiaTheme="majorEastAsia"/>
          <w:color w:val="000000"/>
          <w:sz w:val="22"/>
          <w:szCs w:val="22"/>
          <w:lang w:val="en-US"/>
        </w:rPr>
        <w:t>To improve early detection, public health initiatives should focus on large-scale awareness campaigns that educate the public about AD risk factors and encourage cognitive screening. These campaigns could include community workshops, digital media outreach, and healthcare provider training to ensure widespread engagement. Additionally, promoting modifiable lifestyle factors, such as diet, exercise, and cardiovascular health, can contribute to delaying cognitive decline. A collaborative approach involving government agencies, healthcare organizations, and community groups can help maximize outreach, particularly in rural, Indigenous, and underserved communities. By fostering proactive health behaviors and early intervention, public health policies can significantly reduce the burden of AD.</w:t>
      </w:r>
    </w:p>
    <w:p w:rsidRPr="00DD3983" w:rsidR="00C932DA" w:rsidP="006618CC" w:rsidRDefault="00C932DA" w14:paraId="595AE8AA" w14:textId="77777777">
      <w:pPr>
        <w:pStyle w:val="paragraph"/>
        <w:spacing w:before="0" w:beforeAutospacing="0" w:after="0" w:afterAutospacing="0"/>
        <w:jc w:val="both"/>
        <w:textAlignment w:val="baseline"/>
        <w:rPr>
          <w:rFonts w:ascii="Arial" w:hAnsi="Arial" w:cs="Arial" w:eastAsiaTheme="majorEastAsia"/>
          <w:color w:val="000000"/>
          <w:sz w:val="22"/>
          <w:szCs w:val="22"/>
        </w:rPr>
      </w:pPr>
    </w:p>
    <w:p w:rsidRPr="00993411" w:rsidR="00993411" w:rsidP="00993411" w:rsidRDefault="00416209" w14:paraId="2287C364" w14:textId="29D09A3D">
      <w:pPr>
        <w:pStyle w:val="Heading3"/>
        <w:spacing w:before="0" w:after="0"/>
        <w:rPr>
          <w:rStyle w:val="normaltextrun"/>
        </w:rPr>
      </w:pPr>
      <w:r w:rsidRPr="00997999">
        <w:rPr>
          <w:rStyle w:val="normaltextrun"/>
        </w:rPr>
        <w:t>Legislative Efforts to Promote Equity in Dementia Research</w:t>
      </w:r>
    </w:p>
    <w:p w:rsidRPr="00DD3983" w:rsidR="00416209" w:rsidP="00993411" w:rsidRDefault="00416209" w14:paraId="4EC0FD0C" w14:textId="7D2FDC35">
      <w:pPr>
        <w:pStyle w:val="paragraph"/>
        <w:spacing w:before="0" w:beforeAutospacing="0" w:after="0" w:afterAutospacing="0"/>
        <w:jc w:val="both"/>
        <w:textAlignment w:val="baseline"/>
        <w:rPr>
          <w:rFonts w:ascii="Arial" w:hAnsi="Arial" w:cs="Arial"/>
          <w:sz w:val="22"/>
          <w:szCs w:val="22"/>
        </w:rPr>
      </w:pPr>
      <w:r w:rsidRPr="00DD3983">
        <w:rPr>
          <w:rStyle w:val="normaltextrun"/>
          <w:rFonts w:ascii="Arial" w:hAnsi="Arial" w:cs="Arial" w:eastAsiaTheme="majorEastAsia"/>
          <w:color w:val="000000"/>
          <w:sz w:val="22"/>
          <w:szCs w:val="22"/>
          <w:lang w:val="en-US"/>
        </w:rPr>
        <w:t>Dementia research and clinical trials often lack adequate representation of diverse populations, limiting the generalizability of findings and contributing to disparities in early diagnosis and treatment. In the U.S., the ENACT Act addresses this issue by increasing outreach to underrepresented communities, reducing financial barriers to trial participation, and requiring research institutions to prioritize diverse recruitment</w:t>
      </w:r>
      <w:r w:rsidR="00C77DC3">
        <w:rPr>
          <w:rStyle w:val="normaltextrun"/>
          <w:rFonts w:ascii="Arial" w:hAnsi="Arial" w:cs="Arial" w:eastAsiaTheme="majorEastAsia"/>
          <w:color w:val="000000"/>
          <w:sz w:val="22"/>
          <w:szCs w:val="22"/>
          <w:lang w:val="en-US"/>
        </w:rPr>
        <w:t>.</w:t>
      </w:r>
      <w:r w:rsidR="00E056A7">
        <w:rPr>
          <w:rStyle w:val="normaltextrun"/>
          <w:rFonts w:ascii="Arial" w:hAnsi="Arial" w:cs="Arial" w:eastAsiaTheme="majorEastAsia"/>
          <w:color w:val="000000"/>
          <w:sz w:val="22"/>
          <w:szCs w:val="22"/>
          <w:lang w:val="en-US"/>
        </w:rPr>
        <w:fldChar w:fldCharType="begin"/>
      </w:r>
      <w:r w:rsidR="00025355">
        <w:rPr>
          <w:rStyle w:val="normaltextrun"/>
          <w:rFonts w:ascii="Arial" w:hAnsi="Arial" w:cs="Arial" w:eastAsiaTheme="majorEastAsia"/>
          <w:color w:val="000000"/>
          <w:sz w:val="22"/>
          <w:szCs w:val="22"/>
          <w:lang w:val="en-US"/>
        </w:rPr>
        <w:instrText xml:space="preserve"> ADDIN ZOTERO_ITEM CSL_CITATION {"citationID":"mQcKLT5Z","properties":{"formattedCitation":"\\super 102\\nosupersub{}","plainCitation":"102","noteIndex":0},"citationItems":[{"id":"7XVybpWP/4DaUkYX4","uris":["http://zotero.org/users/14808070/items/KSNBIB45"],"itemData":{"id":1101,"type":"webpage","abstract":"At the Alzheimer's Association, diversity, equity, and inclusion are vital to our mission. Learn about our work and resources for individuals and professionals.","container-title":"Alzheimer’s Association","language":"en-US","title":"Our Commitment to Diversity and Inclusion | Alzheimer's Association","URL":"https://www.alz.org/about/our-commitment-to-diversity-and-inclusion","author":[{"family":"Alzheimer’s Association","given":""}],"accessed":{"date-parts":[["2025",3,25]]},"issued":{"date-parts":[["2025"]]}}}],"schema":"https://github.com/citation-style-language/schema/raw/master/csl-citation.json"} </w:instrText>
      </w:r>
      <w:r w:rsidR="00E056A7">
        <w:rPr>
          <w:rStyle w:val="normaltextrun"/>
          <w:rFonts w:ascii="Arial" w:hAnsi="Arial" w:cs="Arial" w:eastAsiaTheme="majorEastAsia"/>
          <w:color w:val="000000"/>
          <w:sz w:val="22"/>
          <w:szCs w:val="22"/>
          <w:lang w:val="en-US"/>
        </w:rPr>
        <w:fldChar w:fldCharType="separate"/>
      </w:r>
      <w:r w:rsidRPr="00025355" w:rsidR="00025355">
        <w:rPr>
          <w:rFonts w:ascii="Arial" w:hAnsi="Arial" w:cs="Arial"/>
          <w:sz w:val="22"/>
          <w:vertAlign w:val="superscript"/>
        </w:rPr>
        <w:t>102</w:t>
      </w:r>
      <w:r w:rsidR="00E056A7">
        <w:rPr>
          <w:rStyle w:val="normaltextrun"/>
          <w:rFonts w:ascii="Arial" w:hAnsi="Arial" w:cs="Arial" w:eastAsiaTheme="majorEastAsia"/>
          <w:color w:val="000000"/>
          <w:sz w:val="22"/>
          <w:szCs w:val="22"/>
          <w:lang w:val="en-US"/>
        </w:rPr>
        <w:fldChar w:fldCharType="end"/>
      </w:r>
    </w:p>
    <w:p w:rsidR="00993411" w:rsidP="00993411" w:rsidRDefault="00993411" w14:paraId="6695098E" w14:textId="77777777">
      <w:pPr>
        <w:pStyle w:val="paragraph"/>
        <w:spacing w:before="0" w:beforeAutospacing="0" w:after="0" w:afterAutospacing="0"/>
        <w:jc w:val="both"/>
        <w:textAlignment w:val="baseline"/>
        <w:rPr>
          <w:rStyle w:val="normaltextrun"/>
          <w:rFonts w:ascii="Arial" w:hAnsi="Arial" w:cs="Arial" w:eastAsiaTheme="majorEastAsia"/>
          <w:color w:val="000000"/>
          <w:sz w:val="22"/>
          <w:szCs w:val="22"/>
          <w:lang w:val="en-US"/>
        </w:rPr>
      </w:pPr>
    </w:p>
    <w:p w:rsidRPr="00DD3983" w:rsidR="00416209" w:rsidP="00993411" w:rsidRDefault="00416209" w14:paraId="5CB887DB" w14:textId="4F99117F">
      <w:pPr>
        <w:pStyle w:val="paragraph"/>
        <w:spacing w:before="0" w:beforeAutospacing="0" w:after="0" w:afterAutospacing="0"/>
        <w:jc w:val="both"/>
        <w:textAlignment w:val="baseline"/>
        <w:rPr>
          <w:rFonts w:ascii="Arial" w:hAnsi="Arial" w:cs="Arial"/>
          <w:sz w:val="22"/>
          <w:szCs w:val="22"/>
        </w:rPr>
      </w:pPr>
      <w:r w:rsidRPr="00DD3983">
        <w:rPr>
          <w:rStyle w:val="normaltextrun"/>
          <w:rFonts w:ascii="Arial" w:hAnsi="Arial" w:cs="Arial" w:eastAsiaTheme="majorEastAsia"/>
          <w:color w:val="000000"/>
          <w:sz w:val="22"/>
          <w:szCs w:val="22"/>
          <w:lang w:val="en-US"/>
        </w:rPr>
        <w:t>To improve health equity in dementia research, policies should focus on ensuring diverse participation in clinical trials through targeted outreach, financial support, and regulatory mandates. Research institutions should be required to recruit participants from underrepresented populations to ensure findings are applicable across different racial, ethnic, and socioeconomic groups. Additionally, educational programs and outreach initiatives can inform marginalized communities about AD risk factors and research opportunities, while financial and logistical support, such as transportation assistance, childcare, and stipends, can remove barriers to participation. Further, integrating culturally tailored dementia care models into healthcare systems can improve early diagnosis and treatment pathways for at-risk populations.</w:t>
      </w:r>
    </w:p>
    <w:p w:rsidR="00993411" w:rsidP="00993411" w:rsidRDefault="00993411" w14:paraId="54708E79" w14:textId="77777777">
      <w:pPr>
        <w:pStyle w:val="paragraph"/>
        <w:spacing w:before="0" w:beforeAutospacing="0" w:after="0" w:afterAutospacing="0"/>
        <w:jc w:val="both"/>
        <w:textAlignment w:val="baseline"/>
        <w:rPr>
          <w:rStyle w:val="normaltextrun"/>
          <w:rFonts w:ascii="Arial" w:hAnsi="Arial" w:cs="Arial" w:eastAsiaTheme="majorEastAsia"/>
          <w:color w:val="000000"/>
          <w:sz w:val="22"/>
          <w:szCs w:val="22"/>
          <w:lang w:val="en-US"/>
        </w:rPr>
      </w:pPr>
    </w:p>
    <w:p w:rsidRPr="00DD3983" w:rsidR="00416209" w:rsidP="00993411" w:rsidRDefault="00416209" w14:paraId="2E40B5E0" w14:textId="3E410995">
      <w:pPr>
        <w:pStyle w:val="paragraph"/>
        <w:spacing w:before="0" w:beforeAutospacing="0" w:after="0" w:afterAutospacing="0"/>
        <w:jc w:val="both"/>
        <w:textAlignment w:val="baseline"/>
        <w:rPr>
          <w:rFonts w:ascii="Arial" w:hAnsi="Arial" w:cs="Arial"/>
          <w:sz w:val="22"/>
          <w:szCs w:val="22"/>
        </w:rPr>
      </w:pPr>
      <w:r w:rsidRPr="00DD3983">
        <w:rPr>
          <w:rStyle w:val="normaltextrun"/>
          <w:rFonts w:ascii="Arial" w:hAnsi="Arial" w:cs="Arial" w:eastAsiaTheme="majorEastAsia"/>
          <w:color w:val="000000"/>
          <w:sz w:val="22"/>
          <w:szCs w:val="22"/>
          <w:lang w:val="en-US"/>
        </w:rPr>
        <w:t>By implementing comprehensive public health campaigns and legislative policies that promote health equity in dementia research, healthcare systems can enhance early detection, reduce disparities in diagnosis, and ensure that dementia care and research reflect the needs of all populations. These policies will contribute to timely interventions, better patient outcomes, and a more inclusive approach to AD prevention and treatment.</w:t>
      </w:r>
    </w:p>
    <w:p w:rsidRPr="00DD3983" w:rsidR="00416209" w:rsidP="006618CC" w:rsidRDefault="00416209" w14:paraId="5FF8B606" w14:textId="77777777">
      <w:pPr>
        <w:pStyle w:val="paragraph"/>
        <w:spacing w:before="0" w:after="0"/>
        <w:jc w:val="both"/>
        <w:textAlignment w:val="baseline"/>
        <w:rPr>
          <w:rFonts w:ascii="Arial" w:hAnsi="Arial" w:cs="Arial"/>
          <w:sz w:val="22"/>
          <w:szCs w:val="22"/>
        </w:rPr>
      </w:pPr>
    </w:p>
    <w:p w:rsidRPr="00DD3983" w:rsidR="00920694" w:rsidP="00D87F31" w:rsidRDefault="00920694" w14:paraId="28C35D51" w14:textId="07996BB5">
      <w:pPr>
        <w:pStyle w:val="paragraph"/>
        <w:spacing w:before="0" w:after="0"/>
        <w:textAlignment w:val="baseline"/>
        <w:rPr>
          <w:rFonts w:ascii="Arial" w:hAnsi="Arial" w:cs="Arial"/>
          <w:sz w:val="22"/>
          <w:szCs w:val="22"/>
        </w:rPr>
      </w:pPr>
    </w:p>
    <w:p w:rsidRPr="00DD3983" w:rsidR="003B73B5" w:rsidP="00D87F31" w:rsidRDefault="003B73B5" w14:paraId="2DFE0742" w14:textId="77777777">
      <w:pPr>
        <w:pStyle w:val="paragraph"/>
        <w:spacing w:before="0" w:after="0"/>
        <w:textAlignment w:val="baseline"/>
        <w:rPr>
          <w:rFonts w:ascii="Arial" w:hAnsi="Arial" w:cs="Arial"/>
          <w:sz w:val="22"/>
          <w:szCs w:val="22"/>
        </w:rPr>
      </w:pPr>
    </w:p>
    <w:p w:rsidRPr="00997999" w:rsidR="003B73B5" w:rsidP="00997999" w:rsidRDefault="00997999" w14:paraId="456D69E1" w14:textId="0416A541">
      <w:pPr>
        <w:rPr>
          <w:rFonts w:ascii="Arial" w:hAnsi="Arial" w:eastAsia="Times New Roman" w:cs="Arial"/>
          <w:kern w:val="0"/>
          <w:sz w:val="22"/>
          <w:szCs w:val="22"/>
          <w14:ligatures w14:val="none"/>
        </w:rPr>
      </w:pPr>
      <w:r>
        <w:rPr>
          <w:rFonts w:ascii="Arial" w:hAnsi="Arial" w:cs="Arial"/>
          <w:sz w:val="22"/>
          <w:szCs w:val="22"/>
        </w:rPr>
        <w:br w:type="page"/>
      </w:r>
    </w:p>
    <w:p w:rsidR="00D87F31" w:rsidP="00997999" w:rsidRDefault="00C761B2" w14:paraId="4D9CCF71" w14:textId="2B2C7ECA">
      <w:pPr>
        <w:pStyle w:val="Heading1"/>
      </w:pPr>
      <w:r>
        <w:t>References</w:t>
      </w:r>
    </w:p>
    <w:p w:rsidRPr="003303A8" w:rsidR="007B388C" w:rsidP="007B388C" w:rsidRDefault="008126D0" w14:paraId="34577077" w14:textId="77777777">
      <w:pPr>
        <w:pStyle w:val="Bibliography"/>
        <w:rPr>
          <w:rFonts w:ascii="Arial" w:hAnsi="Arial" w:cs="Arial"/>
        </w:rPr>
      </w:pPr>
      <w:r>
        <w:fldChar w:fldCharType="begin"/>
      </w:r>
      <w:r>
        <w:instrText xml:space="preserve"> ADDIN ZOTERO_BIBL {"uncited":[],"omitted":[],"custom":[]} CSL_BIBLIOGRAPHY </w:instrText>
      </w:r>
      <w:r>
        <w:fldChar w:fldCharType="separate"/>
      </w:r>
      <w:r w:rsidRPr="003303A8" w:rsidR="007B388C">
        <w:rPr>
          <w:rFonts w:ascii="Arial" w:hAnsi="Arial" w:cs="Arial"/>
        </w:rPr>
        <w:t>1.</w:t>
      </w:r>
      <w:r w:rsidRPr="003303A8" w:rsidR="007B388C">
        <w:rPr>
          <w:rFonts w:ascii="Arial" w:hAnsi="Arial" w:cs="Arial"/>
        </w:rPr>
        <w:tab/>
      </w:r>
      <w:r w:rsidRPr="003303A8" w:rsidR="007B388C">
        <w:rPr>
          <w:rFonts w:ascii="Arial" w:hAnsi="Arial" w:cs="Arial"/>
        </w:rPr>
        <w:t xml:space="preserve">Jack CR, Bennett DA, Blennow K, et al. NIA-AA Research Framework: Toward a biological definition of Alzheimer’s disease. </w:t>
      </w:r>
      <w:r w:rsidRPr="003303A8" w:rsidR="007B388C">
        <w:rPr>
          <w:rFonts w:ascii="Arial" w:hAnsi="Arial" w:cs="Arial"/>
          <w:i/>
          <w:iCs/>
        </w:rPr>
        <w:t>Alzheimers Dement</w:t>
      </w:r>
      <w:r w:rsidRPr="003303A8" w:rsidR="007B388C">
        <w:rPr>
          <w:rFonts w:ascii="Arial" w:hAnsi="Arial" w:cs="Arial"/>
        </w:rPr>
        <w:t xml:space="preserve">. 2018;14(4):535-562. </w:t>
      </w:r>
      <w:proofErr w:type="gramStart"/>
      <w:r w:rsidRPr="003303A8" w:rsidR="007B388C">
        <w:rPr>
          <w:rFonts w:ascii="Arial" w:hAnsi="Arial" w:cs="Arial"/>
        </w:rPr>
        <w:t>doi:10.1016/j.jalz</w:t>
      </w:r>
      <w:proofErr w:type="gramEnd"/>
      <w:r w:rsidRPr="003303A8" w:rsidR="007B388C">
        <w:rPr>
          <w:rFonts w:ascii="Arial" w:hAnsi="Arial" w:cs="Arial"/>
        </w:rPr>
        <w:t>.2018.02.018</w:t>
      </w:r>
    </w:p>
    <w:p w:rsidRPr="003303A8" w:rsidR="007B388C" w:rsidP="007B388C" w:rsidRDefault="007B388C" w14:paraId="1982672A" w14:textId="77777777">
      <w:pPr>
        <w:pStyle w:val="Bibliography"/>
        <w:rPr>
          <w:rFonts w:ascii="Arial" w:hAnsi="Arial" w:cs="Arial"/>
        </w:rPr>
      </w:pPr>
      <w:r w:rsidRPr="003303A8">
        <w:rPr>
          <w:rFonts w:ascii="Arial" w:hAnsi="Arial" w:cs="Arial"/>
        </w:rPr>
        <w:t>2.</w:t>
      </w:r>
      <w:r w:rsidRPr="003303A8">
        <w:rPr>
          <w:rFonts w:ascii="Arial" w:hAnsi="Arial" w:cs="Arial"/>
        </w:rPr>
        <w:tab/>
      </w:r>
      <w:r w:rsidRPr="003303A8">
        <w:rPr>
          <w:rFonts w:ascii="Arial" w:hAnsi="Arial" w:cs="Arial"/>
        </w:rPr>
        <w:t xml:space="preserve">Braak H, Thal DR, Ghebremedhin E, Del Tredici K. Stages of the Pathologic Process in Alzheimer Disease: Age Categories From 1 to 100 Years. </w:t>
      </w:r>
      <w:r w:rsidRPr="003303A8">
        <w:rPr>
          <w:rFonts w:ascii="Arial" w:hAnsi="Arial" w:cs="Arial"/>
          <w:i/>
          <w:iCs/>
        </w:rPr>
        <w:t>J Neuropathol Exp Neurol</w:t>
      </w:r>
      <w:r w:rsidRPr="003303A8">
        <w:rPr>
          <w:rFonts w:ascii="Arial" w:hAnsi="Arial" w:cs="Arial"/>
        </w:rPr>
        <w:t>. 2011;70(11):960-969. doi:10.1097/NEN.0b013e318232a379</w:t>
      </w:r>
    </w:p>
    <w:p w:rsidRPr="003303A8" w:rsidR="007B388C" w:rsidP="007B388C" w:rsidRDefault="007B388C" w14:paraId="3ABC793F" w14:textId="77777777">
      <w:pPr>
        <w:pStyle w:val="Bibliography"/>
        <w:rPr>
          <w:rFonts w:ascii="Arial" w:hAnsi="Arial" w:cs="Arial"/>
        </w:rPr>
      </w:pPr>
      <w:r w:rsidRPr="003303A8">
        <w:rPr>
          <w:rFonts w:ascii="Arial" w:hAnsi="Arial" w:cs="Arial"/>
        </w:rPr>
        <w:t>3.</w:t>
      </w:r>
      <w:r w:rsidRPr="003303A8">
        <w:rPr>
          <w:rFonts w:ascii="Arial" w:hAnsi="Arial" w:cs="Arial"/>
        </w:rPr>
        <w:tab/>
      </w:r>
      <w:r w:rsidRPr="003303A8">
        <w:rPr>
          <w:rFonts w:ascii="Arial" w:hAnsi="Arial" w:cs="Arial"/>
        </w:rPr>
        <w:t xml:space="preserve">Thal DR, Rüb U, Orantes M, Braak H. Phases of Aβ-deposition in the human brain and its relevance for the development of AD. </w:t>
      </w:r>
      <w:r w:rsidRPr="003303A8">
        <w:rPr>
          <w:rFonts w:ascii="Arial" w:hAnsi="Arial" w:cs="Arial"/>
          <w:i/>
          <w:iCs/>
        </w:rPr>
        <w:t>Neurology</w:t>
      </w:r>
      <w:r w:rsidRPr="003303A8">
        <w:rPr>
          <w:rFonts w:ascii="Arial" w:hAnsi="Arial" w:cs="Arial"/>
        </w:rPr>
        <w:t>. 2002;58(12):1791-1800. doi:10.1212/WNL.58.12.1791</w:t>
      </w:r>
    </w:p>
    <w:p w:rsidRPr="003303A8" w:rsidR="007B388C" w:rsidP="007B388C" w:rsidRDefault="007B388C" w14:paraId="6B842832" w14:textId="77777777">
      <w:pPr>
        <w:pStyle w:val="Bibliography"/>
        <w:rPr>
          <w:rFonts w:ascii="Arial" w:hAnsi="Arial" w:cs="Arial"/>
        </w:rPr>
      </w:pPr>
      <w:r w:rsidRPr="003303A8">
        <w:rPr>
          <w:rFonts w:ascii="Arial" w:hAnsi="Arial" w:cs="Arial"/>
        </w:rPr>
        <w:t>4.</w:t>
      </w:r>
      <w:r w:rsidRPr="003303A8">
        <w:rPr>
          <w:rFonts w:ascii="Arial" w:hAnsi="Arial" w:cs="Arial"/>
        </w:rPr>
        <w:tab/>
      </w:r>
      <w:r w:rsidRPr="003303A8">
        <w:rPr>
          <w:rFonts w:ascii="Arial" w:hAnsi="Arial" w:cs="Arial"/>
        </w:rPr>
        <w:t xml:space="preserve">Villemagne VL, Burnham S, Bourgeat P, et al. Amyloid β deposition, neurodegeneration, and cognitive decline in sporadic Alzheimer’s disease: a prospective cohort study. </w:t>
      </w:r>
      <w:r w:rsidRPr="003303A8">
        <w:rPr>
          <w:rFonts w:ascii="Arial" w:hAnsi="Arial" w:cs="Arial"/>
          <w:i/>
          <w:iCs/>
        </w:rPr>
        <w:t>Lancet Neurol</w:t>
      </w:r>
      <w:r w:rsidRPr="003303A8">
        <w:rPr>
          <w:rFonts w:ascii="Arial" w:hAnsi="Arial" w:cs="Arial"/>
        </w:rPr>
        <w:t>. 2013;12(4):357-367. doi:10.1016/S1474-4422(13)70044-9</w:t>
      </w:r>
    </w:p>
    <w:p w:rsidRPr="003303A8" w:rsidR="007B388C" w:rsidP="007B388C" w:rsidRDefault="007B388C" w14:paraId="4806FCDA" w14:textId="77777777">
      <w:pPr>
        <w:pStyle w:val="Bibliography"/>
        <w:rPr>
          <w:rFonts w:ascii="Arial" w:hAnsi="Arial" w:cs="Arial"/>
        </w:rPr>
      </w:pPr>
      <w:r w:rsidRPr="003303A8">
        <w:rPr>
          <w:rFonts w:ascii="Arial" w:hAnsi="Arial" w:cs="Arial"/>
        </w:rPr>
        <w:t>5.</w:t>
      </w:r>
      <w:r w:rsidRPr="003303A8">
        <w:rPr>
          <w:rFonts w:ascii="Arial" w:hAnsi="Arial" w:cs="Arial"/>
        </w:rPr>
        <w:tab/>
      </w:r>
      <w:r w:rsidRPr="003303A8">
        <w:rPr>
          <w:rFonts w:ascii="Arial" w:hAnsi="Arial" w:cs="Arial"/>
        </w:rPr>
        <w:t xml:space="preserve">Aisen PS, Cummings J, Jack CR, et al. On the path to 2025: understanding the Alzheimer’s disease continuum. </w:t>
      </w:r>
      <w:r w:rsidRPr="003303A8">
        <w:rPr>
          <w:rFonts w:ascii="Arial" w:hAnsi="Arial" w:cs="Arial"/>
          <w:i/>
          <w:iCs/>
        </w:rPr>
        <w:t>Alzheimers Res Ther</w:t>
      </w:r>
      <w:r w:rsidRPr="003303A8">
        <w:rPr>
          <w:rFonts w:ascii="Arial" w:hAnsi="Arial" w:cs="Arial"/>
        </w:rPr>
        <w:t>. 2017;9(1):60. doi:10.1186/s13195-017-0283-5</w:t>
      </w:r>
    </w:p>
    <w:p w:rsidRPr="003303A8" w:rsidR="007B388C" w:rsidP="007B388C" w:rsidRDefault="007B388C" w14:paraId="4F1F063E" w14:textId="77777777">
      <w:pPr>
        <w:pStyle w:val="Bibliography"/>
        <w:rPr>
          <w:rFonts w:ascii="Arial" w:hAnsi="Arial" w:cs="Arial"/>
        </w:rPr>
      </w:pPr>
      <w:r w:rsidRPr="003303A8">
        <w:rPr>
          <w:rFonts w:ascii="Arial" w:hAnsi="Arial" w:cs="Arial"/>
        </w:rPr>
        <w:t>6.</w:t>
      </w:r>
      <w:r w:rsidRPr="003303A8">
        <w:rPr>
          <w:rFonts w:ascii="Arial" w:hAnsi="Arial" w:cs="Arial"/>
        </w:rPr>
        <w:tab/>
      </w:r>
      <w:r w:rsidRPr="003303A8">
        <w:rPr>
          <w:rFonts w:ascii="Arial" w:hAnsi="Arial" w:cs="Arial"/>
        </w:rPr>
        <w:t xml:space="preserve">Kumar A, Sidhu J, Lui F, Tsao JW. Alzheimer Disease. In: </w:t>
      </w:r>
      <w:r w:rsidRPr="003303A8">
        <w:rPr>
          <w:rFonts w:ascii="Arial" w:hAnsi="Arial" w:cs="Arial"/>
          <w:i/>
          <w:iCs/>
        </w:rPr>
        <w:t>StatPearls</w:t>
      </w:r>
      <w:r w:rsidRPr="003303A8">
        <w:rPr>
          <w:rFonts w:ascii="Arial" w:hAnsi="Arial" w:cs="Arial"/>
        </w:rPr>
        <w:t>. StatPearls Publishing; 2025. Accessed March 19, 2025. http://www.ncbi.nlm.nih.gov/books/NBK499922/</w:t>
      </w:r>
    </w:p>
    <w:p w:rsidRPr="003303A8" w:rsidR="007B388C" w:rsidP="007B388C" w:rsidRDefault="007B388C" w14:paraId="743F6A90" w14:textId="77777777">
      <w:pPr>
        <w:pStyle w:val="Bibliography"/>
        <w:rPr>
          <w:rFonts w:ascii="Arial" w:hAnsi="Arial" w:cs="Arial"/>
        </w:rPr>
      </w:pPr>
      <w:r w:rsidRPr="003303A8">
        <w:rPr>
          <w:rFonts w:ascii="Arial" w:hAnsi="Arial" w:cs="Arial"/>
        </w:rPr>
        <w:t>7.</w:t>
      </w:r>
      <w:r w:rsidRPr="003303A8">
        <w:rPr>
          <w:rFonts w:ascii="Arial" w:hAnsi="Arial" w:cs="Arial"/>
        </w:rPr>
        <w:tab/>
      </w:r>
      <w:r w:rsidRPr="003303A8">
        <w:rPr>
          <w:rFonts w:ascii="Arial" w:hAnsi="Arial" w:cs="Arial"/>
        </w:rPr>
        <w:t xml:space="preserve">Knopman DS, Amieva H, Petersen RC, et al. Alzheimer disease. </w:t>
      </w:r>
      <w:r w:rsidRPr="003303A8">
        <w:rPr>
          <w:rFonts w:ascii="Arial" w:hAnsi="Arial" w:cs="Arial"/>
          <w:i/>
          <w:iCs/>
        </w:rPr>
        <w:t>Nat Rev Dis Primer</w:t>
      </w:r>
      <w:r w:rsidRPr="003303A8">
        <w:rPr>
          <w:rFonts w:ascii="Arial" w:hAnsi="Arial" w:cs="Arial"/>
        </w:rPr>
        <w:t>. 2021;7(1):33. doi:10.1038/s41572-021-00269-y</w:t>
      </w:r>
    </w:p>
    <w:p w:rsidRPr="003303A8" w:rsidR="007B388C" w:rsidP="007B388C" w:rsidRDefault="007B388C" w14:paraId="3FE801AF" w14:textId="77777777">
      <w:pPr>
        <w:pStyle w:val="Bibliography"/>
        <w:rPr>
          <w:rFonts w:ascii="Arial" w:hAnsi="Arial" w:cs="Arial"/>
        </w:rPr>
      </w:pPr>
      <w:r w:rsidRPr="003303A8">
        <w:rPr>
          <w:rFonts w:ascii="Arial" w:hAnsi="Arial" w:cs="Arial"/>
        </w:rPr>
        <w:t>8.</w:t>
      </w:r>
      <w:r w:rsidRPr="003303A8">
        <w:rPr>
          <w:rFonts w:ascii="Arial" w:hAnsi="Arial" w:cs="Arial"/>
        </w:rPr>
        <w:tab/>
      </w:r>
      <w:r w:rsidRPr="003303A8">
        <w:rPr>
          <w:rFonts w:ascii="Arial" w:hAnsi="Arial" w:cs="Arial"/>
        </w:rPr>
        <w:t xml:space="preserve">Dickerson BC, Atri A, Clevenger C, et al. The Alzheimer’s Association clinical practice guideline for the Diagnostic Evaluation, Testing, Counseling, and Disclosure of Suspected Alzheimer’s Disease and Related Disorders (DETeCD-ADRD): Executive summary of recommendations for specialty care. </w:t>
      </w:r>
      <w:r w:rsidRPr="003303A8">
        <w:rPr>
          <w:rFonts w:ascii="Arial" w:hAnsi="Arial" w:cs="Arial"/>
          <w:i/>
          <w:iCs/>
        </w:rPr>
        <w:t>Alzheimers Dement</w:t>
      </w:r>
      <w:r w:rsidRPr="003303A8">
        <w:rPr>
          <w:rFonts w:ascii="Arial" w:hAnsi="Arial" w:cs="Arial"/>
        </w:rPr>
        <w:t>. 2025;21(1</w:t>
      </w:r>
      <w:proofErr w:type="gramStart"/>
      <w:r w:rsidRPr="003303A8">
        <w:rPr>
          <w:rFonts w:ascii="Arial" w:hAnsi="Arial" w:cs="Arial"/>
        </w:rPr>
        <w:t>):e</w:t>
      </w:r>
      <w:proofErr w:type="gramEnd"/>
      <w:r w:rsidRPr="003303A8">
        <w:rPr>
          <w:rFonts w:ascii="Arial" w:hAnsi="Arial" w:cs="Arial"/>
        </w:rPr>
        <w:t>14337. doi:10.1002/alz.14337</w:t>
      </w:r>
    </w:p>
    <w:p w:rsidRPr="003303A8" w:rsidR="007B388C" w:rsidP="007B388C" w:rsidRDefault="007B388C" w14:paraId="42957BA7" w14:textId="77777777">
      <w:pPr>
        <w:pStyle w:val="Bibliography"/>
        <w:rPr>
          <w:rFonts w:ascii="Arial" w:hAnsi="Arial" w:cs="Arial"/>
        </w:rPr>
      </w:pPr>
      <w:r w:rsidRPr="003303A8">
        <w:rPr>
          <w:rFonts w:ascii="Arial" w:hAnsi="Arial" w:cs="Arial"/>
        </w:rPr>
        <w:t>9.</w:t>
      </w:r>
      <w:r w:rsidRPr="003303A8">
        <w:rPr>
          <w:rFonts w:ascii="Arial" w:hAnsi="Arial" w:cs="Arial"/>
        </w:rPr>
        <w:tab/>
      </w:r>
      <w:r w:rsidRPr="003303A8">
        <w:rPr>
          <w:rFonts w:ascii="Arial" w:hAnsi="Arial" w:cs="Arial"/>
        </w:rPr>
        <w:t xml:space="preserve">Roth S, Burnie N, Suridjan I, Yan JT, Carboni M. Current Diagnostic Pathways for Alzheimer’s Disease: A Cross-Sectional Real-World Study Across Six Countries. </w:t>
      </w:r>
      <w:r w:rsidRPr="003303A8">
        <w:rPr>
          <w:rFonts w:ascii="Arial" w:hAnsi="Arial" w:cs="Arial"/>
          <w:i/>
          <w:iCs/>
        </w:rPr>
        <w:t>J Alzheimers Dis Rep</w:t>
      </w:r>
      <w:r w:rsidRPr="003303A8">
        <w:rPr>
          <w:rFonts w:ascii="Arial" w:hAnsi="Arial" w:cs="Arial"/>
        </w:rPr>
        <w:t>. 2023;7(1):659-674. doi:10.3233/ADR230007</w:t>
      </w:r>
    </w:p>
    <w:p w:rsidRPr="003303A8" w:rsidR="007B388C" w:rsidP="007B388C" w:rsidRDefault="007B388C" w14:paraId="7BB590C7" w14:textId="77777777">
      <w:pPr>
        <w:pStyle w:val="Bibliography"/>
        <w:rPr>
          <w:rFonts w:ascii="Arial" w:hAnsi="Arial" w:cs="Arial"/>
        </w:rPr>
      </w:pPr>
      <w:r w:rsidRPr="003303A8">
        <w:rPr>
          <w:rFonts w:ascii="Arial" w:hAnsi="Arial" w:cs="Arial"/>
        </w:rPr>
        <w:t>10.</w:t>
      </w:r>
      <w:r w:rsidRPr="003303A8">
        <w:rPr>
          <w:rFonts w:ascii="Arial" w:hAnsi="Arial" w:cs="Arial"/>
        </w:rPr>
        <w:tab/>
      </w:r>
      <w:r w:rsidRPr="003303A8">
        <w:rPr>
          <w:rFonts w:ascii="Arial" w:hAnsi="Arial" w:cs="Arial"/>
        </w:rPr>
        <w:t xml:space="preserve">Fowler NR, Perkins AJ, Gao S, Sachs GA, Boustani MA. Risks and benefits of screening for dementia in primary care: the IU CHOICE trial. </w:t>
      </w:r>
      <w:r w:rsidRPr="003303A8">
        <w:rPr>
          <w:rFonts w:ascii="Arial" w:hAnsi="Arial" w:cs="Arial"/>
          <w:i/>
          <w:iCs/>
        </w:rPr>
        <w:t>J Am Geriatr Soc</w:t>
      </w:r>
      <w:r w:rsidRPr="003303A8">
        <w:rPr>
          <w:rFonts w:ascii="Arial" w:hAnsi="Arial" w:cs="Arial"/>
        </w:rPr>
        <w:t>. 2020;68(3):535-543. doi:10.1111/jgs.16247</w:t>
      </w:r>
    </w:p>
    <w:p w:rsidRPr="003303A8" w:rsidR="007B388C" w:rsidP="007B388C" w:rsidRDefault="007B388C" w14:paraId="7F801DB2" w14:textId="77777777">
      <w:pPr>
        <w:pStyle w:val="Bibliography"/>
        <w:rPr>
          <w:rFonts w:ascii="Arial" w:hAnsi="Arial" w:cs="Arial"/>
        </w:rPr>
      </w:pPr>
      <w:r w:rsidRPr="003303A8">
        <w:rPr>
          <w:rFonts w:ascii="Arial" w:hAnsi="Arial" w:cs="Arial"/>
        </w:rPr>
        <w:t>11.</w:t>
      </w:r>
      <w:r w:rsidRPr="003303A8">
        <w:rPr>
          <w:rFonts w:ascii="Arial" w:hAnsi="Arial" w:cs="Arial"/>
        </w:rPr>
        <w:tab/>
      </w:r>
      <w:r w:rsidRPr="003303A8">
        <w:rPr>
          <w:rFonts w:ascii="Arial" w:hAnsi="Arial" w:cs="Arial"/>
        </w:rPr>
        <w:t xml:space="preserve">Livingston G, Huntley J, Liu KY, et al. Dementia prevention, intervention, and care: 2024 report of the Lancet standing Commission. </w:t>
      </w:r>
      <w:r w:rsidRPr="003303A8">
        <w:rPr>
          <w:rFonts w:ascii="Arial" w:hAnsi="Arial" w:cs="Arial"/>
          <w:i/>
          <w:iCs/>
        </w:rPr>
        <w:t>The Lancet</w:t>
      </w:r>
      <w:r w:rsidRPr="003303A8">
        <w:rPr>
          <w:rFonts w:ascii="Arial" w:hAnsi="Arial" w:cs="Arial"/>
        </w:rPr>
        <w:t>. 2024;404(10452):572-628. doi:10.1016/S0140-6736(24)01296-0</w:t>
      </w:r>
    </w:p>
    <w:p w:rsidRPr="003303A8" w:rsidR="007B388C" w:rsidP="007B388C" w:rsidRDefault="007B388C" w14:paraId="71003C28" w14:textId="77777777">
      <w:pPr>
        <w:pStyle w:val="Bibliography"/>
        <w:rPr>
          <w:rFonts w:ascii="Arial" w:hAnsi="Arial" w:cs="Arial"/>
        </w:rPr>
      </w:pPr>
      <w:r w:rsidRPr="003303A8">
        <w:rPr>
          <w:rFonts w:ascii="Arial" w:hAnsi="Arial" w:cs="Arial"/>
        </w:rPr>
        <w:t>12.</w:t>
      </w:r>
      <w:r w:rsidRPr="003303A8">
        <w:rPr>
          <w:rFonts w:ascii="Arial" w:hAnsi="Arial" w:cs="Arial"/>
        </w:rPr>
        <w:tab/>
      </w:r>
      <w:r w:rsidRPr="003303A8">
        <w:rPr>
          <w:rFonts w:ascii="Arial" w:hAnsi="Arial" w:cs="Arial"/>
        </w:rPr>
        <w:t xml:space="preserve">Frisoni GB, Festari C, Massa F, et al. European intersocietal recommendations for the biomarker-based diagnosis of neurocognitive disorders. </w:t>
      </w:r>
      <w:r w:rsidRPr="003303A8">
        <w:rPr>
          <w:rFonts w:ascii="Arial" w:hAnsi="Arial" w:cs="Arial"/>
          <w:i/>
          <w:iCs/>
        </w:rPr>
        <w:t>Lancet Neurol</w:t>
      </w:r>
      <w:r w:rsidRPr="003303A8">
        <w:rPr>
          <w:rFonts w:ascii="Arial" w:hAnsi="Arial" w:cs="Arial"/>
        </w:rPr>
        <w:t>. 2024;23(3):302-312. doi:10.1016/S1474-4422(23)00447-7</w:t>
      </w:r>
    </w:p>
    <w:p w:rsidRPr="003303A8" w:rsidR="007B388C" w:rsidP="007B388C" w:rsidRDefault="007B388C" w14:paraId="3110CC88" w14:textId="77777777">
      <w:pPr>
        <w:pStyle w:val="Bibliography"/>
        <w:rPr>
          <w:rFonts w:ascii="Arial" w:hAnsi="Arial" w:cs="Arial"/>
        </w:rPr>
      </w:pPr>
      <w:r w:rsidRPr="003303A8">
        <w:rPr>
          <w:rFonts w:ascii="Arial" w:hAnsi="Arial" w:cs="Arial"/>
        </w:rPr>
        <w:t>13.</w:t>
      </w:r>
      <w:r w:rsidRPr="003303A8">
        <w:rPr>
          <w:rFonts w:ascii="Arial" w:hAnsi="Arial" w:cs="Arial"/>
        </w:rPr>
        <w:tab/>
      </w:r>
      <w:r w:rsidRPr="003303A8">
        <w:rPr>
          <w:rFonts w:ascii="Arial" w:hAnsi="Arial" w:cs="Arial"/>
        </w:rPr>
        <w:t xml:space="preserve">Chen Y, Power MC, Grodstein F, et al. Correlates of missed or late versus timely diagnosis of dementia in healthcare settings. </w:t>
      </w:r>
      <w:r w:rsidRPr="003303A8">
        <w:rPr>
          <w:rFonts w:ascii="Arial" w:hAnsi="Arial" w:cs="Arial"/>
          <w:i/>
          <w:iCs/>
        </w:rPr>
        <w:t>Alzheimers Dement</w:t>
      </w:r>
      <w:r w:rsidRPr="003303A8">
        <w:rPr>
          <w:rFonts w:ascii="Arial" w:hAnsi="Arial" w:cs="Arial"/>
        </w:rPr>
        <w:t>. 2024;20(8):5551-5560. doi:10.1002/alz.14067</w:t>
      </w:r>
    </w:p>
    <w:p w:rsidRPr="003303A8" w:rsidR="007B388C" w:rsidP="007B388C" w:rsidRDefault="007B388C" w14:paraId="6C835CF0" w14:textId="77777777">
      <w:pPr>
        <w:pStyle w:val="Bibliography"/>
        <w:rPr>
          <w:rFonts w:ascii="Arial" w:hAnsi="Arial" w:cs="Arial"/>
        </w:rPr>
      </w:pPr>
      <w:r w:rsidRPr="003303A8">
        <w:rPr>
          <w:rFonts w:ascii="Arial" w:hAnsi="Arial" w:cs="Arial"/>
        </w:rPr>
        <w:t>14.</w:t>
      </w:r>
      <w:r w:rsidRPr="003303A8">
        <w:rPr>
          <w:rFonts w:ascii="Arial" w:hAnsi="Arial" w:cs="Arial"/>
        </w:rPr>
        <w:tab/>
      </w:r>
      <w:r w:rsidRPr="003303A8">
        <w:rPr>
          <w:rFonts w:ascii="Arial" w:hAnsi="Arial" w:cs="Arial"/>
        </w:rPr>
        <w:t>World Health Organization. World Health Organization [WHO]. 2023. Accessed March 24, 2025. https://www.who.int/news-room/fact-sheets/detail/dementia</w:t>
      </w:r>
    </w:p>
    <w:p w:rsidRPr="003303A8" w:rsidR="007B388C" w:rsidP="007B388C" w:rsidRDefault="007B388C" w14:paraId="069153BC" w14:textId="77777777">
      <w:pPr>
        <w:pStyle w:val="Bibliography"/>
        <w:rPr>
          <w:rFonts w:ascii="Arial" w:hAnsi="Arial" w:cs="Arial"/>
        </w:rPr>
      </w:pPr>
      <w:r w:rsidRPr="003303A8">
        <w:rPr>
          <w:rFonts w:ascii="Arial" w:hAnsi="Arial" w:cs="Arial"/>
        </w:rPr>
        <w:t>15.</w:t>
      </w:r>
      <w:r w:rsidRPr="003303A8">
        <w:rPr>
          <w:rFonts w:ascii="Arial" w:hAnsi="Arial" w:cs="Arial"/>
        </w:rPr>
        <w:tab/>
      </w:r>
      <w:r w:rsidRPr="003303A8">
        <w:rPr>
          <w:rFonts w:ascii="Arial" w:hAnsi="Arial" w:cs="Arial"/>
        </w:rPr>
        <w:t xml:space="preserve">Armstrong JJ, Alzheimer Society of Canada. </w:t>
      </w:r>
      <w:r w:rsidRPr="003303A8">
        <w:rPr>
          <w:rFonts w:ascii="Arial" w:hAnsi="Arial" w:cs="Arial"/>
          <w:i/>
          <w:iCs/>
        </w:rPr>
        <w:t>Navigating the Path Forward for Dementia in Canada: The Landmark Study Report #1</w:t>
      </w:r>
      <w:r w:rsidRPr="003303A8">
        <w:rPr>
          <w:rFonts w:ascii="Arial" w:hAnsi="Arial" w:cs="Arial"/>
        </w:rPr>
        <w:t>. Alzheimer Society; 2022. https://alzheimer.ca/en/research/reports-dementia/navigating-path-forward-landmark-report-1</w:t>
      </w:r>
    </w:p>
    <w:p w:rsidRPr="003303A8" w:rsidR="007B388C" w:rsidP="007B388C" w:rsidRDefault="007B388C" w14:paraId="1046002F" w14:textId="77777777">
      <w:pPr>
        <w:pStyle w:val="Bibliography"/>
        <w:rPr>
          <w:rFonts w:ascii="Arial" w:hAnsi="Arial" w:cs="Arial"/>
        </w:rPr>
      </w:pPr>
      <w:r w:rsidRPr="003303A8">
        <w:rPr>
          <w:rFonts w:ascii="Arial" w:hAnsi="Arial" w:cs="Arial"/>
        </w:rPr>
        <w:t>16.</w:t>
      </w:r>
      <w:r w:rsidRPr="003303A8">
        <w:rPr>
          <w:rFonts w:ascii="Arial" w:hAnsi="Arial" w:cs="Arial"/>
        </w:rPr>
        <w:tab/>
      </w:r>
      <w:r w:rsidRPr="003303A8">
        <w:rPr>
          <w:rFonts w:ascii="Arial" w:hAnsi="Arial" w:cs="Arial"/>
        </w:rPr>
        <w:t xml:space="preserve">Gustavsson A, Norton N, Fast T, et al. Global estimates on the number of persons across the Alzheimer’s disease continuum. </w:t>
      </w:r>
      <w:r w:rsidRPr="003303A8">
        <w:rPr>
          <w:rFonts w:ascii="Arial" w:hAnsi="Arial" w:cs="Arial"/>
          <w:i/>
          <w:iCs/>
        </w:rPr>
        <w:t>Alzheimers Dement J Alzheimers Assoc</w:t>
      </w:r>
      <w:r w:rsidRPr="003303A8">
        <w:rPr>
          <w:rFonts w:ascii="Arial" w:hAnsi="Arial" w:cs="Arial"/>
        </w:rPr>
        <w:t>. 2023;19(2):658-670. doi:10.1002/alz.12694</w:t>
      </w:r>
    </w:p>
    <w:p w:rsidRPr="003303A8" w:rsidR="007B388C" w:rsidP="007B388C" w:rsidRDefault="007B388C" w14:paraId="6881B6FB" w14:textId="77777777">
      <w:pPr>
        <w:pStyle w:val="Bibliography"/>
        <w:rPr>
          <w:rFonts w:ascii="Arial" w:hAnsi="Arial" w:cs="Arial"/>
        </w:rPr>
      </w:pPr>
      <w:r w:rsidRPr="003303A8">
        <w:rPr>
          <w:rFonts w:ascii="Arial" w:hAnsi="Arial" w:cs="Arial"/>
        </w:rPr>
        <w:t>17.</w:t>
      </w:r>
      <w:r w:rsidRPr="003303A8">
        <w:rPr>
          <w:rFonts w:ascii="Arial" w:hAnsi="Arial" w:cs="Arial"/>
        </w:rPr>
        <w:tab/>
      </w:r>
      <w:r w:rsidRPr="003303A8">
        <w:rPr>
          <w:rFonts w:ascii="Arial" w:hAnsi="Arial" w:cs="Arial"/>
        </w:rPr>
        <w:t xml:space="preserve">2024 Alzheimer’s disease facts and figures. </w:t>
      </w:r>
      <w:r w:rsidRPr="003303A8">
        <w:rPr>
          <w:rFonts w:ascii="Arial" w:hAnsi="Arial" w:cs="Arial"/>
          <w:i/>
          <w:iCs/>
        </w:rPr>
        <w:t>Alzheimers Dement</w:t>
      </w:r>
      <w:r w:rsidRPr="003303A8">
        <w:rPr>
          <w:rFonts w:ascii="Arial" w:hAnsi="Arial" w:cs="Arial"/>
        </w:rPr>
        <w:t>. 2024;20(5):3708-3821. doi:10.1002/alz.13809</w:t>
      </w:r>
    </w:p>
    <w:p w:rsidRPr="003303A8" w:rsidR="007B388C" w:rsidP="007B388C" w:rsidRDefault="007B388C" w14:paraId="5355A5F5" w14:textId="77777777">
      <w:pPr>
        <w:pStyle w:val="Bibliography"/>
        <w:rPr>
          <w:rFonts w:ascii="Arial" w:hAnsi="Arial" w:cs="Arial"/>
        </w:rPr>
      </w:pPr>
      <w:r w:rsidRPr="003303A8">
        <w:rPr>
          <w:rFonts w:ascii="Arial" w:hAnsi="Arial" w:cs="Arial"/>
        </w:rPr>
        <w:t>18.</w:t>
      </w:r>
      <w:r w:rsidRPr="003303A8">
        <w:rPr>
          <w:rFonts w:ascii="Arial" w:hAnsi="Arial" w:cs="Arial"/>
        </w:rPr>
        <w:tab/>
      </w:r>
      <w:r w:rsidRPr="003303A8">
        <w:rPr>
          <w:rFonts w:ascii="Arial" w:hAnsi="Arial" w:cs="Arial"/>
        </w:rPr>
        <w:t xml:space="preserve">Piaceri I, Nacmias B, Sorbi S. Genetics of familial and sporadic Alzheimer’s disease. </w:t>
      </w:r>
      <w:r w:rsidRPr="003303A8">
        <w:rPr>
          <w:rFonts w:ascii="Arial" w:hAnsi="Arial" w:cs="Arial"/>
          <w:i/>
          <w:iCs/>
        </w:rPr>
        <w:t>Front Biosci-Elite</w:t>
      </w:r>
      <w:r w:rsidRPr="003303A8">
        <w:rPr>
          <w:rFonts w:ascii="Arial" w:hAnsi="Arial" w:cs="Arial"/>
        </w:rPr>
        <w:t>. 2013;5(1):167-177. doi:10.2741/E605</w:t>
      </w:r>
    </w:p>
    <w:p w:rsidRPr="003303A8" w:rsidR="007B388C" w:rsidP="007B388C" w:rsidRDefault="007B388C" w14:paraId="17CC7BA0" w14:textId="77777777">
      <w:pPr>
        <w:pStyle w:val="Bibliography"/>
        <w:rPr>
          <w:rFonts w:ascii="Arial" w:hAnsi="Arial" w:cs="Arial"/>
        </w:rPr>
      </w:pPr>
      <w:r w:rsidRPr="003303A8">
        <w:rPr>
          <w:rFonts w:ascii="Arial" w:hAnsi="Arial" w:cs="Arial"/>
        </w:rPr>
        <w:t>19.</w:t>
      </w:r>
      <w:r w:rsidRPr="003303A8">
        <w:rPr>
          <w:rFonts w:ascii="Arial" w:hAnsi="Arial" w:cs="Arial"/>
        </w:rPr>
        <w:tab/>
      </w:r>
      <w:r w:rsidRPr="003303A8">
        <w:rPr>
          <w:rFonts w:ascii="Arial" w:hAnsi="Arial" w:cs="Arial"/>
        </w:rPr>
        <w:t>Public Health Agency of Canada. Dementia in Canada, including Alzheimer’s Disease: Highlights from the Canadian Chronic Disease Surveillance System. September 18, 2017. Accessed March 25, 2025. https://www.canada.ca/en/public-health/services/publications/diseases-conditions/dementia-highlights-canadian-chronic-disease-surveillance.html</w:t>
      </w:r>
    </w:p>
    <w:p w:rsidRPr="003303A8" w:rsidR="007B388C" w:rsidP="007B388C" w:rsidRDefault="007B388C" w14:paraId="1AAF77E1" w14:textId="77777777">
      <w:pPr>
        <w:pStyle w:val="Bibliography"/>
        <w:rPr>
          <w:rFonts w:ascii="Arial" w:hAnsi="Arial" w:cs="Arial"/>
        </w:rPr>
      </w:pPr>
      <w:r w:rsidRPr="003303A8">
        <w:rPr>
          <w:rFonts w:ascii="Arial" w:hAnsi="Arial" w:cs="Arial"/>
        </w:rPr>
        <w:t>20.</w:t>
      </w:r>
      <w:r w:rsidRPr="003303A8">
        <w:rPr>
          <w:rFonts w:ascii="Arial" w:hAnsi="Arial" w:cs="Arial"/>
        </w:rPr>
        <w:tab/>
      </w:r>
      <w:r w:rsidRPr="003303A8">
        <w:rPr>
          <w:rFonts w:ascii="Arial" w:hAnsi="Arial" w:cs="Arial"/>
        </w:rPr>
        <w:t>World Health Organization. Dementia: number of people affected to triple in next 30 years. 2017. Accessed March 25, 2025. https://www.who.int/news/item/07-12-2017-dementia-number-of-people-affected-to-triple-in-next-30-years</w:t>
      </w:r>
    </w:p>
    <w:p w:rsidRPr="003303A8" w:rsidR="007B388C" w:rsidP="007B388C" w:rsidRDefault="007B388C" w14:paraId="5896A28B" w14:textId="77777777">
      <w:pPr>
        <w:pStyle w:val="Bibliography"/>
        <w:rPr>
          <w:rFonts w:ascii="Arial" w:hAnsi="Arial" w:cs="Arial"/>
        </w:rPr>
      </w:pPr>
      <w:r w:rsidRPr="003303A8">
        <w:rPr>
          <w:rFonts w:ascii="Arial" w:hAnsi="Arial" w:cs="Arial"/>
        </w:rPr>
        <w:t>21.</w:t>
      </w:r>
      <w:r w:rsidRPr="003303A8">
        <w:rPr>
          <w:rFonts w:ascii="Arial" w:hAnsi="Arial" w:cs="Arial"/>
        </w:rPr>
        <w:tab/>
      </w:r>
      <w:r w:rsidRPr="003303A8">
        <w:rPr>
          <w:rFonts w:ascii="Arial" w:hAnsi="Arial" w:cs="Arial"/>
        </w:rPr>
        <w:t xml:space="preserve">Hippius H, Neundörfer G. The discovery of Alzheimer’s disease. </w:t>
      </w:r>
      <w:r w:rsidRPr="003303A8">
        <w:rPr>
          <w:rFonts w:ascii="Arial" w:hAnsi="Arial" w:cs="Arial"/>
          <w:i/>
          <w:iCs/>
        </w:rPr>
        <w:t>Dialogues Clin Neurosci</w:t>
      </w:r>
      <w:r w:rsidRPr="003303A8">
        <w:rPr>
          <w:rFonts w:ascii="Arial" w:hAnsi="Arial" w:cs="Arial"/>
        </w:rPr>
        <w:t>. 2003;5(1):101-108.</w:t>
      </w:r>
    </w:p>
    <w:p w:rsidRPr="003303A8" w:rsidR="007B388C" w:rsidP="007B388C" w:rsidRDefault="007B388C" w14:paraId="25E683FE" w14:textId="77777777">
      <w:pPr>
        <w:pStyle w:val="Bibliography"/>
        <w:rPr>
          <w:rFonts w:ascii="Arial" w:hAnsi="Arial" w:cs="Arial"/>
        </w:rPr>
      </w:pPr>
      <w:r w:rsidRPr="003303A8">
        <w:rPr>
          <w:rFonts w:ascii="Arial" w:hAnsi="Arial" w:cs="Arial"/>
        </w:rPr>
        <w:t>22.</w:t>
      </w:r>
      <w:r w:rsidRPr="003303A8">
        <w:rPr>
          <w:rFonts w:ascii="Arial" w:hAnsi="Arial" w:cs="Arial"/>
        </w:rPr>
        <w:tab/>
      </w:r>
      <w:r w:rsidRPr="003303A8">
        <w:rPr>
          <w:rFonts w:ascii="Arial" w:hAnsi="Arial" w:cs="Arial"/>
        </w:rPr>
        <w:t xml:space="preserve">Breijyeh Z, Karaman R. Comprehensive Review on Alzheimer’s Disease: Causes and Treatment. </w:t>
      </w:r>
      <w:r w:rsidRPr="003303A8">
        <w:rPr>
          <w:rFonts w:ascii="Arial" w:hAnsi="Arial" w:cs="Arial"/>
          <w:i/>
          <w:iCs/>
        </w:rPr>
        <w:t>Molecules</w:t>
      </w:r>
      <w:r w:rsidRPr="003303A8">
        <w:rPr>
          <w:rFonts w:ascii="Arial" w:hAnsi="Arial" w:cs="Arial"/>
        </w:rPr>
        <w:t>. 2020;25(24):5789. doi:10.3390/molecules25245789</w:t>
      </w:r>
    </w:p>
    <w:p w:rsidRPr="003303A8" w:rsidR="007B388C" w:rsidP="007B388C" w:rsidRDefault="007B388C" w14:paraId="1762646B" w14:textId="77777777">
      <w:pPr>
        <w:pStyle w:val="Bibliography"/>
        <w:rPr>
          <w:rFonts w:ascii="Arial" w:hAnsi="Arial" w:cs="Arial"/>
        </w:rPr>
      </w:pPr>
      <w:r w:rsidRPr="003303A8">
        <w:rPr>
          <w:rFonts w:ascii="Arial" w:hAnsi="Arial" w:cs="Arial"/>
        </w:rPr>
        <w:t>23.</w:t>
      </w:r>
      <w:r w:rsidRPr="003303A8">
        <w:rPr>
          <w:rFonts w:ascii="Arial" w:hAnsi="Arial" w:cs="Arial"/>
        </w:rPr>
        <w:tab/>
      </w:r>
      <w:r w:rsidRPr="003303A8">
        <w:rPr>
          <w:rFonts w:ascii="Arial" w:hAnsi="Arial" w:cs="Arial"/>
        </w:rPr>
        <w:t xml:space="preserve">McLaughlin T, Feldman H, Fillit H, et al. Dependence as a unifying construct in defining Alzheimer’s disease severity. </w:t>
      </w:r>
      <w:r w:rsidRPr="003303A8">
        <w:rPr>
          <w:rFonts w:ascii="Arial" w:hAnsi="Arial" w:cs="Arial"/>
          <w:i/>
          <w:iCs/>
        </w:rPr>
        <w:t>Alzheimers Dement J Alzheimers Assoc</w:t>
      </w:r>
      <w:r w:rsidRPr="003303A8">
        <w:rPr>
          <w:rFonts w:ascii="Arial" w:hAnsi="Arial" w:cs="Arial"/>
        </w:rPr>
        <w:t>. 2010;6(6</w:t>
      </w:r>
      <w:proofErr w:type="gramStart"/>
      <w:r w:rsidRPr="003303A8">
        <w:rPr>
          <w:rFonts w:ascii="Arial" w:hAnsi="Arial" w:cs="Arial"/>
        </w:rPr>
        <w:t>):10.1016/j.jalz</w:t>
      </w:r>
      <w:proofErr w:type="gramEnd"/>
      <w:r w:rsidRPr="003303A8">
        <w:rPr>
          <w:rFonts w:ascii="Arial" w:hAnsi="Arial" w:cs="Arial"/>
        </w:rPr>
        <w:t xml:space="preserve">.2009.09.004. </w:t>
      </w:r>
      <w:proofErr w:type="gramStart"/>
      <w:r w:rsidRPr="003303A8">
        <w:rPr>
          <w:rFonts w:ascii="Arial" w:hAnsi="Arial" w:cs="Arial"/>
        </w:rPr>
        <w:t>doi:10.1016/j.jalz</w:t>
      </w:r>
      <w:proofErr w:type="gramEnd"/>
      <w:r w:rsidRPr="003303A8">
        <w:rPr>
          <w:rFonts w:ascii="Arial" w:hAnsi="Arial" w:cs="Arial"/>
        </w:rPr>
        <w:t>.2009.09.004</w:t>
      </w:r>
    </w:p>
    <w:p w:rsidRPr="003303A8" w:rsidR="007B388C" w:rsidP="007B388C" w:rsidRDefault="007B388C" w14:paraId="34B318BD" w14:textId="77777777">
      <w:pPr>
        <w:pStyle w:val="Bibliography"/>
        <w:rPr>
          <w:rFonts w:ascii="Arial" w:hAnsi="Arial" w:cs="Arial"/>
        </w:rPr>
      </w:pPr>
      <w:r w:rsidRPr="003303A8">
        <w:rPr>
          <w:rFonts w:ascii="Arial" w:hAnsi="Arial" w:cs="Arial"/>
        </w:rPr>
        <w:t>24.</w:t>
      </w:r>
      <w:r w:rsidRPr="003303A8">
        <w:rPr>
          <w:rFonts w:ascii="Arial" w:hAnsi="Arial" w:cs="Arial"/>
        </w:rPr>
        <w:tab/>
      </w:r>
      <w:r w:rsidRPr="003303A8">
        <w:rPr>
          <w:rFonts w:ascii="Arial" w:hAnsi="Arial" w:cs="Arial"/>
        </w:rPr>
        <w:t xml:space="preserve">Skirbekk V, Dieleman JL, Stonawski M, Fejkiel K, Tyrovolas S, Chang AY. The health-adjusted dependency ratio as a new global measure of the burden of ageing: a population-based study. </w:t>
      </w:r>
      <w:r w:rsidRPr="003303A8">
        <w:rPr>
          <w:rFonts w:ascii="Arial" w:hAnsi="Arial" w:cs="Arial"/>
          <w:i/>
          <w:iCs/>
        </w:rPr>
        <w:t>Lancet Healthy Longev</w:t>
      </w:r>
      <w:r w:rsidRPr="003303A8">
        <w:rPr>
          <w:rFonts w:ascii="Arial" w:hAnsi="Arial" w:cs="Arial"/>
        </w:rPr>
        <w:t>. 2022;3(5</w:t>
      </w:r>
      <w:proofErr w:type="gramStart"/>
      <w:r w:rsidRPr="003303A8">
        <w:rPr>
          <w:rFonts w:ascii="Arial" w:hAnsi="Arial" w:cs="Arial"/>
        </w:rPr>
        <w:t>):e</w:t>
      </w:r>
      <w:proofErr w:type="gramEnd"/>
      <w:r w:rsidRPr="003303A8">
        <w:rPr>
          <w:rFonts w:ascii="Arial" w:hAnsi="Arial" w:cs="Arial"/>
        </w:rPr>
        <w:t>332-e338. doi:10.1016/S2666-7568(22)00075-7</w:t>
      </w:r>
    </w:p>
    <w:p w:rsidRPr="003303A8" w:rsidR="007B388C" w:rsidP="007B388C" w:rsidRDefault="007B388C" w14:paraId="55C8E985" w14:textId="77777777">
      <w:pPr>
        <w:pStyle w:val="Bibliography"/>
        <w:rPr>
          <w:rFonts w:ascii="Arial" w:hAnsi="Arial" w:cs="Arial"/>
        </w:rPr>
      </w:pPr>
      <w:r w:rsidRPr="003303A8">
        <w:rPr>
          <w:rFonts w:ascii="Arial" w:hAnsi="Arial" w:cs="Arial"/>
        </w:rPr>
        <w:t>25.</w:t>
      </w:r>
      <w:r w:rsidRPr="003303A8">
        <w:rPr>
          <w:rFonts w:ascii="Arial" w:hAnsi="Arial" w:cs="Arial"/>
        </w:rPr>
        <w:tab/>
      </w:r>
      <w:r w:rsidRPr="003303A8">
        <w:rPr>
          <w:rFonts w:ascii="Arial" w:hAnsi="Arial" w:cs="Arial"/>
        </w:rPr>
        <w:t>National Institute on Aging. NIA-Funded Active Alzheimer’s and Related Dementias Clinical Trials and Studies. National Institute on Aging. Accessed March 25, 2025. https://www.nia.nih.gov/research/ongoing-AD-trials</w:t>
      </w:r>
    </w:p>
    <w:p w:rsidRPr="003303A8" w:rsidR="007B388C" w:rsidP="007B388C" w:rsidRDefault="007B388C" w14:paraId="17B36B83" w14:textId="77777777">
      <w:pPr>
        <w:pStyle w:val="Bibliography"/>
        <w:rPr>
          <w:rFonts w:ascii="Arial" w:hAnsi="Arial" w:cs="Arial"/>
        </w:rPr>
      </w:pPr>
      <w:r w:rsidRPr="003303A8">
        <w:rPr>
          <w:rFonts w:ascii="Arial" w:hAnsi="Arial" w:cs="Arial"/>
        </w:rPr>
        <w:t>26.</w:t>
      </w:r>
      <w:r w:rsidRPr="003303A8">
        <w:rPr>
          <w:rFonts w:ascii="Arial" w:hAnsi="Arial" w:cs="Arial"/>
        </w:rPr>
        <w:tab/>
      </w:r>
      <w:r w:rsidRPr="003303A8">
        <w:rPr>
          <w:rFonts w:ascii="Arial" w:hAnsi="Arial" w:cs="Arial"/>
        </w:rPr>
        <w:t xml:space="preserve">Cummings JL, Morstorf T, Zhong K. Alzheimer’s disease drug-development pipeline: few candidates, frequent failures. </w:t>
      </w:r>
      <w:r w:rsidRPr="003303A8">
        <w:rPr>
          <w:rFonts w:ascii="Arial" w:hAnsi="Arial" w:cs="Arial"/>
          <w:i/>
          <w:iCs/>
        </w:rPr>
        <w:t>Alzheimers Res Ther</w:t>
      </w:r>
      <w:r w:rsidRPr="003303A8">
        <w:rPr>
          <w:rFonts w:ascii="Arial" w:hAnsi="Arial" w:cs="Arial"/>
        </w:rPr>
        <w:t>. 2014;6(4):37. doi:10.1186/alzrt269</w:t>
      </w:r>
    </w:p>
    <w:p w:rsidRPr="003303A8" w:rsidR="007B388C" w:rsidP="007B388C" w:rsidRDefault="007B388C" w14:paraId="59302C0C" w14:textId="77777777">
      <w:pPr>
        <w:pStyle w:val="Bibliography"/>
        <w:rPr>
          <w:rFonts w:ascii="Arial" w:hAnsi="Arial" w:cs="Arial"/>
        </w:rPr>
      </w:pPr>
      <w:r w:rsidRPr="003303A8">
        <w:rPr>
          <w:rFonts w:ascii="Arial" w:hAnsi="Arial" w:cs="Arial"/>
        </w:rPr>
        <w:t>27.</w:t>
      </w:r>
      <w:r w:rsidRPr="003303A8">
        <w:rPr>
          <w:rFonts w:ascii="Arial" w:hAnsi="Arial" w:cs="Arial"/>
        </w:rPr>
        <w:tab/>
      </w:r>
      <w:r w:rsidRPr="003303A8">
        <w:rPr>
          <w:rFonts w:ascii="Arial" w:hAnsi="Arial" w:cs="Arial"/>
        </w:rPr>
        <w:t xml:space="preserve">Juganavar A, Joshi A, Shegekar T. Navigating Early Alzheimer’s Diagnosis: A Comprehensive Review of Diagnostic Innovations. </w:t>
      </w:r>
      <w:r w:rsidRPr="003303A8">
        <w:rPr>
          <w:rFonts w:ascii="Arial" w:hAnsi="Arial" w:cs="Arial"/>
          <w:i/>
          <w:iCs/>
        </w:rPr>
        <w:t>Cureus</w:t>
      </w:r>
      <w:r w:rsidRPr="003303A8">
        <w:rPr>
          <w:rFonts w:ascii="Arial" w:hAnsi="Arial" w:cs="Arial"/>
        </w:rPr>
        <w:t>. 2023;15(9</w:t>
      </w:r>
      <w:proofErr w:type="gramStart"/>
      <w:r w:rsidRPr="003303A8">
        <w:rPr>
          <w:rFonts w:ascii="Arial" w:hAnsi="Arial" w:cs="Arial"/>
        </w:rPr>
        <w:t>):e</w:t>
      </w:r>
      <w:proofErr w:type="gramEnd"/>
      <w:r w:rsidRPr="003303A8">
        <w:rPr>
          <w:rFonts w:ascii="Arial" w:hAnsi="Arial" w:cs="Arial"/>
        </w:rPr>
        <w:t>44937. doi:10.7759/cureus.44937</w:t>
      </w:r>
    </w:p>
    <w:p w:rsidRPr="003303A8" w:rsidR="007B388C" w:rsidP="007B388C" w:rsidRDefault="007B388C" w14:paraId="2816AFB0" w14:textId="77777777">
      <w:pPr>
        <w:pStyle w:val="Bibliography"/>
        <w:rPr>
          <w:rFonts w:ascii="Arial" w:hAnsi="Arial" w:cs="Arial"/>
        </w:rPr>
      </w:pPr>
      <w:r w:rsidRPr="003303A8">
        <w:rPr>
          <w:rFonts w:ascii="Arial" w:hAnsi="Arial" w:cs="Arial"/>
        </w:rPr>
        <w:t>28.</w:t>
      </w:r>
      <w:r w:rsidRPr="003303A8">
        <w:rPr>
          <w:rFonts w:ascii="Arial" w:hAnsi="Arial" w:cs="Arial"/>
        </w:rPr>
        <w:tab/>
      </w:r>
      <w:r w:rsidRPr="003303A8">
        <w:rPr>
          <w:rFonts w:ascii="Arial" w:hAnsi="Arial" w:cs="Arial"/>
        </w:rPr>
        <w:t xml:space="preserve">Rasmussen J, Langerman H. Alzheimer’s Disease – Why We Need Early Diagnosis. </w:t>
      </w:r>
      <w:r w:rsidRPr="003303A8">
        <w:rPr>
          <w:rFonts w:ascii="Arial" w:hAnsi="Arial" w:cs="Arial"/>
          <w:i/>
          <w:iCs/>
        </w:rPr>
        <w:t>Degener Neurol Neuromuscul Dis</w:t>
      </w:r>
      <w:r w:rsidRPr="003303A8">
        <w:rPr>
          <w:rFonts w:ascii="Arial" w:hAnsi="Arial" w:cs="Arial"/>
        </w:rPr>
        <w:t xml:space="preserve">. </w:t>
      </w:r>
      <w:proofErr w:type="gramStart"/>
      <w:r w:rsidRPr="003303A8">
        <w:rPr>
          <w:rFonts w:ascii="Arial" w:hAnsi="Arial" w:cs="Arial"/>
        </w:rPr>
        <w:t>2019;9:123</w:t>
      </w:r>
      <w:proofErr w:type="gramEnd"/>
      <w:r w:rsidRPr="003303A8">
        <w:rPr>
          <w:rFonts w:ascii="Arial" w:hAnsi="Arial" w:cs="Arial"/>
        </w:rPr>
        <w:t>-130. doi:10.2147/DNND.S228939</w:t>
      </w:r>
    </w:p>
    <w:p w:rsidRPr="003303A8" w:rsidR="007B388C" w:rsidP="007B388C" w:rsidRDefault="007B388C" w14:paraId="095EB8ED" w14:textId="77777777">
      <w:pPr>
        <w:pStyle w:val="Bibliography"/>
        <w:rPr>
          <w:rFonts w:ascii="Arial" w:hAnsi="Arial" w:cs="Arial"/>
        </w:rPr>
      </w:pPr>
      <w:r w:rsidRPr="003303A8">
        <w:rPr>
          <w:rFonts w:ascii="Arial" w:hAnsi="Arial" w:cs="Arial"/>
        </w:rPr>
        <w:t>29.</w:t>
      </w:r>
      <w:r w:rsidRPr="003303A8">
        <w:rPr>
          <w:rFonts w:ascii="Arial" w:hAnsi="Arial" w:cs="Arial"/>
        </w:rPr>
        <w:tab/>
      </w:r>
      <w:r w:rsidRPr="003303A8">
        <w:rPr>
          <w:rFonts w:ascii="Arial" w:hAnsi="Arial" w:cs="Arial"/>
        </w:rPr>
        <w:t xml:space="preserve">Jack CR, Bennett DA, Blennow K, et al. NIA-AA Research Framework: Toward a biological definition of Alzheimer’s disease. </w:t>
      </w:r>
      <w:r w:rsidRPr="003303A8">
        <w:rPr>
          <w:rFonts w:ascii="Arial" w:hAnsi="Arial" w:cs="Arial"/>
          <w:i/>
          <w:iCs/>
        </w:rPr>
        <w:t>Alzheimers Dement</w:t>
      </w:r>
      <w:r w:rsidRPr="003303A8">
        <w:rPr>
          <w:rFonts w:ascii="Arial" w:hAnsi="Arial" w:cs="Arial"/>
        </w:rPr>
        <w:t xml:space="preserve">. 2018;14(4):535-562. </w:t>
      </w:r>
      <w:proofErr w:type="gramStart"/>
      <w:r w:rsidRPr="003303A8">
        <w:rPr>
          <w:rFonts w:ascii="Arial" w:hAnsi="Arial" w:cs="Arial"/>
        </w:rPr>
        <w:t>doi:10.1016/j.jalz</w:t>
      </w:r>
      <w:proofErr w:type="gramEnd"/>
      <w:r w:rsidRPr="003303A8">
        <w:rPr>
          <w:rFonts w:ascii="Arial" w:hAnsi="Arial" w:cs="Arial"/>
        </w:rPr>
        <w:t>.2018.02.018</w:t>
      </w:r>
    </w:p>
    <w:p w:rsidRPr="003303A8" w:rsidR="007B388C" w:rsidP="007B388C" w:rsidRDefault="007B388C" w14:paraId="11E9023D" w14:textId="77777777">
      <w:pPr>
        <w:pStyle w:val="Bibliography"/>
        <w:rPr>
          <w:rFonts w:ascii="Arial" w:hAnsi="Arial" w:cs="Arial"/>
        </w:rPr>
      </w:pPr>
      <w:r w:rsidRPr="003303A8">
        <w:rPr>
          <w:rFonts w:ascii="Arial" w:hAnsi="Arial" w:cs="Arial"/>
        </w:rPr>
        <w:t>30.</w:t>
      </w:r>
      <w:r w:rsidRPr="003303A8">
        <w:rPr>
          <w:rFonts w:ascii="Arial" w:hAnsi="Arial" w:cs="Arial"/>
        </w:rPr>
        <w:tab/>
      </w:r>
      <w:r w:rsidRPr="003303A8">
        <w:rPr>
          <w:rFonts w:ascii="Arial" w:hAnsi="Arial" w:cs="Arial"/>
        </w:rPr>
        <w:t xml:space="preserve">Bouwman FH, Frisoni GB, Johnson SC, et al. Clinical application of CSF biomarkers for Alzheimer’s disease: From rationale to ratios. </w:t>
      </w:r>
      <w:r w:rsidRPr="003303A8">
        <w:rPr>
          <w:rFonts w:ascii="Arial" w:hAnsi="Arial" w:cs="Arial"/>
          <w:i/>
          <w:iCs/>
        </w:rPr>
        <w:t>Alzheimers Dement Diagn Assess Dis Monit</w:t>
      </w:r>
      <w:r w:rsidRPr="003303A8">
        <w:rPr>
          <w:rFonts w:ascii="Arial" w:hAnsi="Arial" w:cs="Arial"/>
        </w:rPr>
        <w:t>. 2022;14(1</w:t>
      </w:r>
      <w:proofErr w:type="gramStart"/>
      <w:r w:rsidRPr="003303A8">
        <w:rPr>
          <w:rFonts w:ascii="Arial" w:hAnsi="Arial" w:cs="Arial"/>
        </w:rPr>
        <w:t>):e</w:t>
      </w:r>
      <w:proofErr w:type="gramEnd"/>
      <w:r w:rsidRPr="003303A8">
        <w:rPr>
          <w:rFonts w:ascii="Arial" w:hAnsi="Arial" w:cs="Arial"/>
        </w:rPr>
        <w:t>12314. doi:10.1002/dad2.12314</w:t>
      </w:r>
    </w:p>
    <w:p w:rsidRPr="003303A8" w:rsidR="007B388C" w:rsidP="007B388C" w:rsidRDefault="007B388C" w14:paraId="3307A318" w14:textId="77777777">
      <w:pPr>
        <w:pStyle w:val="Bibliography"/>
        <w:rPr>
          <w:rFonts w:ascii="Arial" w:hAnsi="Arial" w:cs="Arial"/>
        </w:rPr>
      </w:pPr>
      <w:r w:rsidRPr="003303A8">
        <w:rPr>
          <w:rFonts w:ascii="Arial" w:hAnsi="Arial" w:cs="Arial"/>
        </w:rPr>
        <w:t>31.</w:t>
      </w:r>
      <w:r w:rsidRPr="003303A8">
        <w:rPr>
          <w:rFonts w:ascii="Arial" w:hAnsi="Arial" w:cs="Arial"/>
        </w:rPr>
        <w:tab/>
      </w:r>
      <w:r w:rsidRPr="003303A8">
        <w:rPr>
          <w:rFonts w:ascii="Arial" w:hAnsi="Arial" w:cs="Arial"/>
        </w:rPr>
        <w:t xml:space="preserve">Fortea J, García-Arcelay E, Terrancle Á, et al. Attitudes of Neurologists Toward the Use of Biomarkers in the Diagnosis of Early Alzheimer’s Disease. </w:t>
      </w:r>
      <w:r w:rsidRPr="003303A8">
        <w:rPr>
          <w:rFonts w:ascii="Arial" w:hAnsi="Arial" w:cs="Arial"/>
          <w:i/>
          <w:iCs/>
        </w:rPr>
        <w:t>J Alzheimers Dis JAD</w:t>
      </w:r>
      <w:r w:rsidRPr="003303A8">
        <w:rPr>
          <w:rFonts w:ascii="Arial" w:hAnsi="Arial" w:cs="Arial"/>
        </w:rPr>
        <w:t>. 2023;93(1):275-282. doi:10.3233/JAD-221160</w:t>
      </w:r>
    </w:p>
    <w:p w:rsidRPr="003303A8" w:rsidR="007B388C" w:rsidP="007B388C" w:rsidRDefault="007B388C" w14:paraId="4708ADC1" w14:textId="77777777">
      <w:pPr>
        <w:pStyle w:val="Bibliography"/>
        <w:rPr>
          <w:rFonts w:ascii="Arial" w:hAnsi="Arial" w:cs="Arial"/>
        </w:rPr>
      </w:pPr>
      <w:r w:rsidRPr="003303A8">
        <w:rPr>
          <w:rFonts w:ascii="Arial" w:hAnsi="Arial" w:cs="Arial"/>
        </w:rPr>
        <w:t>32.</w:t>
      </w:r>
      <w:r w:rsidRPr="003303A8">
        <w:rPr>
          <w:rFonts w:ascii="Arial" w:hAnsi="Arial" w:cs="Arial"/>
        </w:rPr>
        <w:tab/>
      </w:r>
      <w:r w:rsidRPr="003303A8">
        <w:rPr>
          <w:rFonts w:ascii="Arial" w:hAnsi="Arial" w:cs="Arial"/>
        </w:rPr>
        <w:t xml:space="preserve">Fowler C, Rainey-Smith SR, Bird S, et al. Fifteen Years of the Australian Imaging, Biomarkers and Lifestyle (AIBL) Study: Progress and Observations from 2,359 Older Adults Spanning the Spectrum from Cognitive Normality to Alzheimer’s Disease. </w:t>
      </w:r>
      <w:r w:rsidRPr="003303A8">
        <w:rPr>
          <w:rFonts w:ascii="Arial" w:hAnsi="Arial" w:cs="Arial"/>
          <w:i/>
          <w:iCs/>
        </w:rPr>
        <w:t>J Alzheimers Dis Rep</w:t>
      </w:r>
      <w:r w:rsidRPr="003303A8">
        <w:rPr>
          <w:rFonts w:ascii="Arial" w:hAnsi="Arial" w:cs="Arial"/>
        </w:rPr>
        <w:t>. 2021;5(1):443-468. doi:10.3233/ADR-210005</w:t>
      </w:r>
    </w:p>
    <w:p w:rsidRPr="003303A8" w:rsidR="007B388C" w:rsidP="007B388C" w:rsidRDefault="007B388C" w14:paraId="32FE9D61" w14:textId="77777777">
      <w:pPr>
        <w:pStyle w:val="Bibliography"/>
        <w:rPr>
          <w:rFonts w:ascii="Arial" w:hAnsi="Arial" w:cs="Arial"/>
        </w:rPr>
      </w:pPr>
      <w:r w:rsidRPr="003303A8">
        <w:rPr>
          <w:rFonts w:ascii="Arial" w:hAnsi="Arial" w:cs="Arial"/>
        </w:rPr>
        <w:t>33.</w:t>
      </w:r>
      <w:r w:rsidRPr="003303A8">
        <w:rPr>
          <w:rFonts w:ascii="Arial" w:hAnsi="Arial" w:cs="Arial"/>
        </w:rPr>
        <w:tab/>
      </w:r>
      <w:r w:rsidRPr="003303A8">
        <w:rPr>
          <w:rFonts w:ascii="Arial" w:hAnsi="Arial" w:cs="Arial"/>
        </w:rPr>
        <w:t>Neuroimaging modalities in the detection of Alzheimer’s disease-associated biomarkers | Psychoradiology | Oxford Academic. Accessed March 12, 2025. https://academic.oup.com/psyrad/article/doi/10.1093/psyrad/kkad009/7205306</w:t>
      </w:r>
    </w:p>
    <w:p w:rsidRPr="003303A8" w:rsidR="007B388C" w:rsidP="007B388C" w:rsidRDefault="007B388C" w14:paraId="6CE86B07" w14:textId="77777777">
      <w:pPr>
        <w:pStyle w:val="Bibliography"/>
        <w:rPr>
          <w:rFonts w:ascii="Arial" w:hAnsi="Arial" w:cs="Arial"/>
        </w:rPr>
      </w:pPr>
      <w:r w:rsidRPr="003303A8">
        <w:rPr>
          <w:rFonts w:ascii="Arial" w:hAnsi="Arial" w:cs="Arial"/>
        </w:rPr>
        <w:t>34.</w:t>
      </w:r>
      <w:r w:rsidRPr="003303A8">
        <w:rPr>
          <w:rFonts w:ascii="Arial" w:hAnsi="Arial" w:cs="Arial"/>
        </w:rPr>
        <w:tab/>
      </w:r>
      <w:r w:rsidRPr="003303A8">
        <w:rPr>
          <w:rFonts w:ascii="Arial" w:hAnsi="Arial" w:cs="Arial"/>
        </w:rPr>
        <w:t xml:space="preserve">Perani D, Schillaci O, Padovani A, et al. A survey of FDG- and amyloid-PET imaging in dementia and GRADE analysis. </w:t>
      </w:r>
      <w:r w:rsidRPr="003303A8">
        <w:rPr>
          <w:rFonts w:ascii="Arial" w:hAnsi="Arial" w:cs="Arial"/>
          <w:i/>
          <w:iCs/>
        </w:rPr>
        <w:t>BioMed Res Int</w:t>
      </w:r>
      <w:r w:rsidRPr="003303A8">
        <w:rPr>
          <w:rFonts w:ascii="Arial" w:hAnsi="Arial" w:cs="Arial"/>
        </w:rPr>
        <w:t xml:space="preserve">. </w:t>
      </w:r>
      <w:proofErr w:type="gramStart"/>
      <w:r w:rsidRPr="003303A8">
        <w:rPr>
          <w:rFonts w:ascii="Arial" w:hAnsi="Arial" w:cs="Arial"/>
        </w:rPr>
        <w:t>2014;2014:785039</w:t>
      </w:r>
      <w:proofErr w:type="gramEnd"/>
      <w:r w:rsidRPr="003303A8">
        <w:rPr>
          <w:rFonts w:ascii="Arial" w:hAnsi="Arial" w:cs="Arial"/>
        </w:rPr>
        <w:t>. doi:10.1155/2014/785039</w:t>
      </w:r>
    </w:p>
    <w:p w:rsidRPr="003303A8" w:rsidR="007B388C" w:rsidP="007B388C" w:rsidRDefault="007B388C" w14:paraId="2B5ECEC0" w14:textId="77777777">
      <w:pPr>
        <w:pStyle w:val="Bibliography"/>
        <w:rPr>
          <w:rFonts w:ascii="Arial" w:hAnsi="Arial" w:cs="Arial"/>
        </w:rPr>
      </w:pPr>
      <w:r w:rsidRPr="003303A8">
        <w:rPr>
          <w:rFonts w:ascii="Arial" w:hAnsi="Arial" w:cs="Arial"/>
        </w:rPr>
        <w:t>35.</w:t>
      </w:r>
      <w:r w:rsidRPr="003303A8">
        <w:rPr>
          <w:rFonts w:ascii="Arial" w:hAnsi="Arial" w:cs="Arial"/>
        </w:rPr>
        <w:tab/>
      </w:r>
      <w:r w:rsidRPr="003303A8">
        <w:rPr>
          <w:rFonts w:ascii="Arial" w:hAnsi="Arial" w:cs="Arial"/>
        </w:rPr>
        <w:t>Diagnostic Accuracy of a Plasma Phosphorylated Tau 217 Immunoassay for Alzheimer Disease Pathology | Dementia and Cognitive Impairment | JAMA Neurology | JAMA Network. Accessed March 12, 2025. https://jamanetwork.com/journals/jamaneurology/fullarticle/2813751</w:t>
      </w:r>
    </w:p>
    <w:p w:rsidRPr="003303A8" w:rsidR="007B388C" w:rsidP="007B388C" w:rsidRDefault="007B388C" w14:paraId="6F2E621B" w14:textId="77777777">
      <w:pPr>
        <w:pStyle w:val="Bibliography"/>
        <w:rPr>
          <w:rFonts w:ascii="Arial" w:hAnsi="Arial" w:cs="Arial"/>
        </w:rPr>
      </w:pPr>
      <w:r w:rsidRPr="003303A8">
        <w:rPr>
          <w:rFonts w:ascii="Arial" w:hAnsi="Arial" w:cs="Arial"/>
        </w:rPr>
        <w:t>36.</w:t>
      </w:r>
      <w:r w:rsidRPr="003303A8">
        <w:rPr>
          <w:rFonts w:ascii="Arial" w:hAnsi="Arial" w:cs="Arial"/>
        </w:rPr>
        <w:tab/>
      </w:r>
      <w:r w:rsidRPr="003303A8">
        <w:rPr>
          <w:rFonts w:ascii="Arial" w:hAnsi="Arial" w:cs="Arial"/>
        </w:rPr>
        <w:t xml:space="preserve">Sekine T, Buck A, Delso G, et al. The impact of atlas-based MR attenuation correction on the diagnosis of FDG-PET/MR for Alzheimer’s diseases- A simulation study combining multi-center data and ADNI-data. </w:t>
      </w:r>
      <w:r w:rsidRPr="003303A8">
        <w:rPr>
          <w:rFonts w:ascii="Arial" w:hAnsi="Arial" w:cs="Arial"/>
          <w:i/>
          <w:iCs/>
        </w:rPr>
        <w:t>PloS One</w:t>
      </w:r>
      <w:r w:rsidRPr="003303A8">
        <w:rPr>
          <w:rFonts w:ascii="Arial" w:hAnsi="Arial" w:cs="Arial"/>
        </w:rPr>
        <w:t>. 2020;15(6</w:t>
      </w:r>
      <w:proofErr w:type="gramStart"/>
      <w:r w:rsidRPr="003303A8">
        <w:rPr>
          <w:rFonts w:ascii="Arial" w:hAnsi="Arial" w:cs="Arial"/>
        </w:rPr>
        <w:t>):e</w:t>
      </w:r>
      <w:proofErr w:type="gramEnd"/>
      <w:r w:rsidRPr="003303A8">
        <w:rPr>
          <w:rFonts w:ascii="Arial" w:hAnsi="Arial" w:cs="Arial"/>
        </w:rPr>
        <w:t xml:space="preserve">0233886. </w:t>
      </w:r>
      <w:proofErr w:type="gramStart"/>
      <w:r w:rsidRPr="003303A8">
        <w:rPr>
          <w:rFonts w:ascii="Arial" w:hAnsi="Arial" w:cs="Arial"/>
        </w:rPr>
        <w:t>doi:10.1371/journal.pone</w:t>
      </w:r>
      <w:proofErr w:type="gramEnd"/>
      <w:r w:rsidRPr="003303A8">
        <w:rPr>
          <w:rFonts w:ascii="Arial" w:hAnsi="Arial" w:cs="Arial"/>
        </w:rPr>
        <w:t>.0233886</w:t>
      </w:r>
    </w:p>
    <w:p w:rsidRPr="003303A8" w:rsidR="007B388C" w:rsidP="007B388C" w:rsidRDefault="007B388C" w14:paraId="61769526" w14:textId="77777777">
      <w:pPr>
        <w:pStyle w:val="Bibliography"/>
        <w:rPr>
          <w:rFonts w:ascii="Arial" w:hAnsi="Arial" w:cs="Arial"/>
        </w:rPr>
      </w:pPr>
      <w:r w:rsidRPr="003303A8">
        <w:rPr>
          <w:rFonts w:ascii="Arial" w:hAnsi="Arial" w:cs="Arial"/>
        </w:rPr>
        <w:t>37.</w:t>
      </w:r>
      <w:r w:rsidRPr="003303A8">
        <w:rPr>
          <w:rFonts w:ascii="Arial" w:hAnsi="Arial" w:cs="Arial"/>
        </w:rPr>
        <w:tab/>
      </w:r>
      <w:r w:rsidRPr="003303A8">
        <w:rPr>
          <w:rFonts w:ascii="Arial" w:hAnsi="Arial" w:cs="Arial"/>
        </w:rPr>
        <w:t xml:space="preserve">Teuber-Hanselmann S, Rekowski J, Vogelgsang J, et al. CSF and blood Kallikrein-8: a promising early biomarker for Alzheimer’s disease. </w:t>
      </w:r>
      <w:r w:rsidRPr="003303A8">
        <w:rPr>
          <w:rFonts w:ascii="Arial" w:hAnsi="Arial" w:cs="Arial"/>
          <w:i/>
          <w:iCs/>
        </w:rPr>
        <w:t>J Neurol Neurosurg Psychiatry</w:t>
      </w:r>
      <w:r w:rsidRPr="003303A8">
        <w:rPr>
          <w:rFonts w:ascii="Arial" w:hAnsi="Arial" w:cs="Arial"/>
        </w:rPr>
        <w:t>. 2020;91(1):40-48. doi:10.1136/jnnp-2019-321073</w:t>
      </w:r>
    </w:p>
    <w:p w:rsidRPr="003303A8" w:rsidR="007B388C" w:rsidP="007B388C" w:rsidRDefault="007B388C" w14:paraId="1D44D003" w14:textId="77777777">
      <w:pPr>
        <w:pStyle w:val="Bibliography"/>
        <w:rPr>
          <w:rFonts w:ascii="Arial" w:hAnsi="Arial" w:cs="Arial"/>
        </w:rPr>
      </w:pPr>
      <w:r w:rsidRPr="003303A8">
        <w:rPr>
          <w:rFonts w:ascii="Arial" w:hAnsi="Arial" w:cs="Arial"/>
        </w:rPr>
        <w:t>38.</w:t>
      </w:r>
      <w:r w:rsidRPr="003303A8">
        <w:rPr>
          <w:rFonts w:ascii="Arial" w:hAnsi="Arial" w:cs="Arial"/>
        </w:rPr>
        <w:tab/>
      </w:r>
      <w:r w:rsidRPr="003303A8">
        <w:rPr>
          <w:rFonts w:ascii="Arial" w:hAnsi="Arial" w:cs="Arial"/>
        </w:rPr>
        <w:t xml:space="preserve">Wheeler PL, Murphy C. Olfactory Measures as Predictors of Conversion to Mild Cognitive Impairment and Alzheimer’s Disease. </w:t>
      </w:r>
      <w:r w:rsidRPr="003303A8">
        <w:rPr>
          <w:rFonts w:ascii="Arial" w:hAnsi="Arial" w:cs="Arial"/>
          <w:i/>
          <w:iCs/>
        </w:rPr>
        <w:t>Brain Sci</w:t>
      </w:r>
      <w:r w:rsidRPr="003303A8">
        <w:rPr>
          <w:rFonts w:ascii="Arial" w:hAnsi="Arial" w:cs="Arial"/>
        </w:rPr>
        <w:t>. 2021;11(11):1391. doi:10.3390/brainsci11111391</w:t>
      </w:r>
    </w:p>
    <w:p w:rsidRPr="003303A8" w:rsidR="007B388C" w:rsidP="007B388C" w:rsidRDefault="007B388C" w14:paraId="73ECCA92" w14:textId="77777777">
      <w:pPr>
        <w:pStyle w:val="Bibliography"/>
        <w:rPr>
          <w:rFonts w:ascii="Arial" w:hAnsi="Arial" w:cs="Arial"/>
        </w:rPr>
      </w:pPr>
      <w:r w:rsidRPr="003303A8">
        <w:rPr>
          <w:rFonts w:ascii="Arial" w:hAnsi="Arial" w:cs="Arial"/>
        </w:rPr>
        <w:t>39.</w:t>
      </w:r>
      <w:r w:rsidRPr="003303A8">
        <w:rPr>
          <w:rFonts w:ascii="Arial" w:hAnsi="Arial" w:cs="Arial"/>
        </w:rPr>
        <w:tab/>
      </w:r>
      <w:r w:rsidRPr="003303A8">
        <w:rPr>
          <w:rFonts w:ascii="Arial" w:hAnsi="Arial" w:cs="Arial"/>
        </w:rPr>
        <w:t xml:space="preserve">Aivar P, Bianchi C, Di Lauro C, et al. TNAP and P2X7R: New Plasma Biomarkers for Alzheimer’s Disease. </w:t>
      </w:r>
      <w:r w:rsidRPr="003303A8">
        <w:rPr>
          <w:rFonts w:ascii="Arial" w:hAnsi="Arial" w:cs="Arial"/>
          <w:i/>
          <w:iCs/>
        </w:rPr>
        <w:t>Int J Mol Sci</w:t>
      </w:r>
      <w:r w:rsidRPr="003303A8">
        <w:rPr>
          <w:rFonts w:ascii="Arial" w:hAnsi="Arial" w:cs="Arial"/>
        </w:rPr>
        <w:t>. 2023;24(13):10897. doi:10.3390/ijms241310897</w:t>
      </w:r>
    </w:p>
    <w:p w:rsidRPr="003303A8" w:rsidR="007B388C" w:rsidP="007B388C" w:rsidRDefault="007B388C" w14:paraId="5E2427D1" w14:textId="77777777">
      <w:pPr>
        <w:pStyle w:val="Bibliography"/>
        <w:rPr>
          <w:rFonts w:ascii="Arial" w:hAnsi="Arial" w:cs="Arial"/>
        </w:rPr>
      </w:pPr>
      <w:r w:rsidRPr="003303A8">
        <w:rPr>
          <w:rFonts w:ascii="Arial" w:hAnsi="Arial" w:cs="Arial"/>
        </w:rPr>
        <w:t>40.</w:t>
      </w:r>
      <w:r w:rsidRPr="003303A8">
        <w:rPr>
          <w:rFonts w:ascii="Arial" w:hAnsi="Arial" w:cs="Arial"/>
        </w:rPr>
        <w:tab/>
      </w:r>
      <w:r w:rsidRPr="003303A8">
        <w:rPr>
          <w:rFonts w:ascii="Arial" w:hAnsi="Arial" w:cs="Arial"/>
        </w:rPr>
        <w:t xml:space="preserve">Jytzler JA, Lysdahlgaard S. Radiomics evaluation for the early detection of Alzheimer’s dementia using T1-weighted MRI. </w:t>
      </w:r>
      <w:r w:rsidRPr="003303A8">
        <w:rPr>
          <w:rFonts w:ascii="Arial" w:hAnsi="Arial" w:cs="Arial"/>
          <w:i/>
          <w:iCs/>
        </w:rPr>
        <w:t>Radiography</w:t>
      </w:r>
      <w:r w:rsidRPr="003303A8">
        <w:rPr>
          <w:rFonts w:ascii="Arial" w:hAnsi="Arial" w:cs="Arial"/>
        </w:rPr>
        <w:t xml:space="preserve">. 2024;30(5):1427-1433. </w:t>
      </w:r>
      <w:proofErr w:type="gramStart"/>
      <w:r w:rsidRPr="003303A8">
        <w:rPr>
          <w:rFonts w:ascii="Arial" w:hAnsi="Arial" w:cs="Arial"/>
        </w:rPr>
        <w:t>doi:10.1016/j.radi</w:t>
      </w:r>
      <w:proofErr w:type="gramEnd"/>
      <w:r w:rsidRPr="003303A8">
        <w:rPr>
          <w:rFonts w:ascii="Arial" w:hAnsi="Arial" w:cs="Arial"/>
        </w:rPr>
        <w:t>.2024.06.016</w:t>
      </w:r>
    </w:p>
    <w:p w:rsidRPr="003303A8" w:rsidR="007B388C" w:rsidP="007B388C" w:rsidRDefault="007B388C" w14:paraId="2C18629B" w14:textId="77777777">
      <w:pPr>
        <w:pStyle w:val="Bibliography"/>
        <w:rPr>
          <w:rFonts w:ascii="Arial" w:hAnsi="Arial" w:cs="Arial"/>
        </w:rPr>
      </w:pPr>
      <w:r w:rsidRPr="003303A8">
        <w:rPr>
          <w:rFonts w:ascii="Arial" w:hAnsi="Arial" w:cs="Arial"/>
        </w:rPr>
        <w:t>41.</w:t>
      </w:r>
      <w:r w:rsidRPr="003303A8">
        <w:rPr>
          <w:rFonts w:ascii="Arial" w:hAnsi="Arial" w:cs="Arial"/>
        </w:rPr>
        <w:tab/>
      </w:r>
      <w:r w:rsidRPr="003303A8">
        <w:rPr>
          <w:rFonts w:ascii="Arial" w:hAnsi="Arial" w:cs="Arial"/>
        </w:rPr>
        <w:t xml:space="preserve">Kim J, Jeong M, Stiles WR, Choi HS. Neuroimaging Modalities in Alzheimer’s Disease: Diagnosis and Clinical Features. </w:t>
      </w:r>
      <w:r w:rsidRPr="003303A8">
        <w:rPr>
          <w:rFonts w:ascii="Arial" w:hAnsi="Arial" w:cs="Arial"/>
          <w:i/>
          <w:iCs/>
        </w:rPr>
        <w:t>Int J Mol Sci</w:t>
      </w:r>
      <w:r w:rsidRPr="003303A8">
        <w:rPr>
          <w:rFonts w:ascii="Arial" w:hAnsi="Arial" w:cs="Arial"/>
        </w:rPr>
        <w:t>. 2022;23(11):6079. doi:10.3390/ijms23116079</w:t>
      </w:r>
    </w:p>
    <w:p w:rsidRPr="003303A8" w:rsidR="007B388C" w:rsidP="007B388C" w:rsidRDefault="007B388C" w14:paraId="3E8B9A71" w14:textId="77777777">
      <w:pPr>
        <w:pStyle w:val="Bibliography"/>
        <w:rPr>
          <w:rFonts w:ascii="Arial" w:hAnsi="Arial" w:cs="Arial"/>
        </w:rPr>
      </w:pPr>
      <w:r w:rsidRPr="003303A8">
        <w:rPr>
          <w:rFonts w:ascii="Arial" w:hAnsi="Arial" w:cs="Arial"/>
        </w:rPr>
        <w:t>42.</w:t>
      </w:r>
      <w:r w:rsidRPr="003303A8">
        <w:rPr>
          <w:rFonts w:ascii="Arial" w:hAnsi="Arial" w:cs="Arial"/>
        </w:rPr>
        <w:tab/>
      </w:r>
      <w:r w:rsidRPr="003303A8">
        <w:rPr>
          <w:rFonts w:ascii="Arial" w:hAnsi="Arial" w:cs="Arial"/>
        </w:rPr>
        <w:t xml:space="preserve">Qiu S, Miller MI, Joshi PS, et al. Multimodal deep learning for Alzheimer’s disease dementia assessment. </w:t>
      </w:r>
      <w:r w:rsidRPr="003303A8">
        <w:rPr>
          <w:rFonts w:ascii="Arial" w:hAnsi="Arial" w:cs="Arial"/>
          <w:i/>
          <w:iCs/>
        </w:rPr>
        <w:t>Nat Commun</w:t>
      </w:r>
      <w:r w:rsidRPr="003303A8">
        <w:rPr>
          <w:rFonts w:ascii="Arial" w:hAnsi="Arial" w:cs="Arial"/>
        </w:rPr>
        <w:t>. 2022;13(1):3404. doi:10.1038/s41467-022-31037-5</w:t>
      </w:r>
    </w:p>
    <w:p w:rsidRPr="003303A8" w:rsidR="007B388C" w:rsidP="007B388C" w:rsidRDefault="007B388C" w14:paraId="0CB0BB7E" w14:textId="77777777">
      <w:pPr>
        <w:pStyle w:val="Bibliography"/>
        <w:rPr>
          <w:rFonts w:ascii="Arial" w:hAnsi="Arial" w:cs="Arial"/>
        </w:rPr>
      </w:pPr>
      <w:r w:rsidRPr="003303A8">
        <w:rPr>
          <w:rFonts w:ascii="Arial" w:hAnsi="Arial" w:cs="Arial"/>
        </w:rPr>
        <w:t>43.</w:t>
      </w:r>
      <w:r w:rsidRPr="003303A8">
        <w:rPr>
          <w:rFonts w:ascii="Arial" w:hAnsi="Arial" w:cs="Arial"/>
        </w:rPr>
        <w:tab/>
      </w:r>
      <w:r w:rsidRPr="003303A8">
        <w:rPr>
          <w:rFonts w:ascii="Arial" w:hAnsi="Arial" w:cs="Arial"/>
        </w:rPr>
        <w:t xml:space="preserve">Wu J, Zhao K, Li Z, et al. A systematic analysis of diagnostic performance for Alzheimer’s disease using structural MRI. </w:t>
      </w:r>
      <w:r w:rsidRPr="003303A8">
        <w:rPr>
          <w:rFonts w:ascii="Arial" w:hAnsi="Arial" w:cs="Arial"/>
          <w:i/>
          <w:iCs/>
        </w:rPr>
        <w:t>Psychoradiology</w:t>
      </w:r>
      <w:r w:rsidRPr="003303A8">
        <w:rPr>
          <w:rFonts w:ascii="Arial" w:hAnsi="Arial" w:cs="Arial"/>
        </w:rPr>
        <w:t>. 2022;2(1):287-295. doi:10.1093/psyrad/kkac001</w:t>
      </w:r>
    </w:p>
    <w:p w:rsidRPr="003303A8" w:rsidR="007B388C" w:rsidP="007B388C" w:rsidRDefault="007B388C" w14:paraId="73158D76" w14:textId="77777777">
      <w:pPr>
        <w:pStyle w:val="Bibliography"/>
        <w:rPr>
          <w:rFonts w:ascii="Arial" w:hAnsi="Arial" w:cs="Arial"/>
        </w:rPr>
      </w:pPr>
      <w:r w:rsidRPr="003303A8">
        <w:rPr>
          <w:rFonts w:ascii="Arial" w:hAnsi="Arial" w:cs="Arial"/>
        </w:rPr>
        <w:t>44.</w:t>
      </w:r>
      <w:r w:rsidRPr="003303A8">
        <w:rPr>
          <w:rFonts w:ascii="Arial" w:hAnsi="Arial" w:cs="Arial"/>
        </w:rPr>
        <w:tab/>
      </w:r>
      <w:r w:rsidRPr="003303A8">
        <w:rPr>
          <w:rFonts w:ascii="Arial" w:hAnsi="Arial" w:cs="Arial"/>
        </w:rPr>
        <w:t xml:space="preserve">Wang LX, Wang YZ, Han CG, Zhao L, He L, Li J. Revolutionizing early Alzheimer’s disease and mild cognitive impairment diagnosis: a deep learning MRI meta-analysis. </w:t>
      </w:r>
      <w:r w:rsidRPr="003303A8">
        <w:rPr>
          <w:rFonts w:ascii="Arial" w:hAnsi="Arial" w:cs="Arial"/>
          <w:i/>
          <w:iCs/>
        </w:rPr>
        <w:t>Arq Neuropsiquiatr</w:t>
      </w:r>
      <w:r w:rsidRPr="003303A8">
        <w:rPr>
          <w:rFonts w:ascii="Arial" w:hAnsi="Arial" w:cs="Arial"/>
        </w:rPr>
        <w:t>. 2024;82(8):1-10. doi:10.1055/s-0044-1788657</w:t>
      </w:r>
    </w:p>
    <w:p w:rsidRPr="003303A8" w:rsidR="007B388C" w:rsidP="007B388C" w:rsidRDefault="007B388C" w14:paraId="1CE0ED04" w14:textId="77777777">
      <w:pPr>
        <w:pStyle w:val="Bibliography"/>
        <w:rPr>
          <w:rFonts w:ascii="Arial" w:hAnsi="Arial" w:cs="Arial"/>
        </w:rPr>
      </w:pPr>
      <w:r w:rsidRPr="003303A8">
        <w:rPr>
          <w:rFonts w:ascii="Arial" w:hAnsi="Arial" w:cs="Arial"/>
        </w:rPr>
        <w:t>45.</w:t>
      </w:r>
      <w:r w:rsidRPr="003303A8">
        <w:rPr>
          <w:rFonts w:ascii="Arial" w:hAnsi="Arial" w:cs="Arial"/>
        </w:rPr>
        <w:tab/>
      </w:r>
      <w:r w:rsidRPr="003303A8">
        <w:rPr>
          <w:rFonts w:ascii="Arial" w:hAnsi="Arial" w:cs="Arial"/>
        </w:rPr>
        <w:t xml:space="preserve">Yao Z, Wang H, Yan W, et al. Artificial intelligence-based diagnosis of Alzheimer’s disease with brain MRI images. </w:t>
      </w:r>
      <w:r w:rsidRPr="003303A8">
        <w:rPr>
          <w:rFonts w:ascii="Arial" w:hAnsi="Arial" w:cs="Arial"/>
          <w:i/>
          <w:iCs/>
        </w:rPr>
        <w:t>Eur J Radiol</w:t>
      </w:r>
      <w:r w:rsidRPr="003303A8">
        <w:rPr>
          <w:rFonts w:ascii="Arial" w:hAnsi="Arial" w:cs="Arial"/>
        </w:rPr>
        <w:t xml:space="preserve">. </w:t>
      </w:r>
      <w:proofErr w:type="gramStart"/>
      <w:r w:rsidRPr="003303A8">
        <w:rPr>
          <w:rFonts w:ascii="Arial" w:hAnsi="Arial" w:cs="Arial"/>
        </w:rPr>
        <w:t>2023;165:110934</w:t>
      </w:r>
      <w:proofErr w:type="gramEnd"/>
      <w:r w:rsidRPr="003303A8">
        <w:rPr>
          <w:rFonts w:ascii="Arial" w:hAnsi="Arial" w:cs="Arial"/>
        </w:rPr>
        <w:t xml:space="preserve">. </w:t>
      </w:r>
      <w:proofErr w:type="gramStart"/>
      <w:r w:rsidRPr="003303A8">
        <w:rPr>
          <w:rFonts w:ascii="Arial" w:hAnsi="Arial" w:cs="Arial"/>
        </w:rPr>
        <w:t>doi:10.1016/j.ejrad</w:t>
      </w:r>
      <w:proofErr w:type="gramEnd"/>
      <w:r w:rsidRPr="003303A8">
        <w:rPr>
          <w:rFonts w:ascii="Arial" w:hAnsi="Arial" w:cs="Arial"/>
        </w:rPr>
        <w:t>.2023.110934</w:t>
      </w:r>
    </w:p>
    <w:p w:rsidRPr="003303A8" w:rsidR="007B388C" w:rsidP="007B388C" w:rsidRDefault="007B388C" w14:paraId="7BF183BF" w14:textId="77777777">
      <w:pPr>
        <w:pStyle w:val="Bibliography"/>
        <w:rPr>
          <w:rFonts w:ascii="Arial" w:hAnsi="Arial" w:cs="Arial"/>
        </w:rPr>
      </w:pPr>
      <w:r w:rsidRPr="003303A8">
        <w:rPr>
          <w:rFonts w:ascii="Arial" w:hAnsi="Arial" w:cs="Arial"/>
        </w:rPr>
        <w:t>46.</w:t>
      </w:r>
      <w:r w:rsidRPr="003303A8">
        <w:rPr>
          <w:rFonts w:ascii="Arial" w:hAnsi="Arial" w:cs="Arial"/>
        </w:rPr>
        <w:tab/>
      </w:r>
      <w:r w:rsidRPr="003303A8">
        <w:rPr>
          <w:rFonts w:ascii="Arial" w:hAnsi="Arial" w:cs="Arial"/>
        </w:rPr>
        <w:t xml:space="preserve">Amft M, Ortner M, Eichenlaub U, et al. The cerebrospinal fluid biomarker ratio Aβ42/40 identifies amyloid positron emission tomography positivity better than Aβ42 alone in a heterogeneous memory clinic cohort. </w:t>
      </w:r>
      <w:r w:rsidRPr="003303A8">
        <w:rPr>
          <w:rFonts w:ascii="Arial" w:hAnsi="Arial" w:cs="Arial"/>
          <w:i/>
          <w:iCs/>
        </w:rPr>
        <w:t>Alzheimers Res Ther</w:t>
      </w:r>
      <w:r w:rsidRPr="003303A8">
        <w:rPr>
          <w:rFonts w:ascii="Arial" w:hAnsi="Arial" w:cs="Arial"/>
        </w:rPr>
        <w:t>. 2022;14(1):60. doi:10.1186/s13195-022-01003-w</w:t>
      </w:r>
    </w:p>
    <w:p w:rsidRPr="003303A8" w:rsidR="007B388C" w:rsidP="007B388C" w:rsidRDefault="007B388C" w14:paraId="7B5839A8" w14:textId="77777777">
      <w:pPr>
        <w:pStyle w:val="Bibliography"/>
        <w:rPr>
          <w:rFonts w:ascii="Arial" w:hAnsi="Arial" w:cs="Arial"/>
        </w:rPr>
      </w:pPr>
      <w:r w:rsidRPr="003303A8">
        <w:rPr>
          <w:rFonts w:ascii="Arial" w:hAnsi="Arial" w:cs="Arial"/>
        </w:rPr>
        <w:t>47.</w:t>
      </w:r>
      <w:r w:rsidRPr="003303A8">
        <w:rPr>
          <w:rFonts w:ascii="Arial" w:hAnsi="Arial" w:cs="Arial"/>
        </w:rPr>
        <w:tab/>
      </w:r>
      <w:r w:rsidRPr="003303A8">
        <w:rPr>
          <w:rFonts w:ascii="Arial" w:hAnsi="Arial" w:cs="Arial"/>
        </w:rPr>
        <w:t xml:space="preserve">Leuzy A, Janelidze S, Mattsson-Carlgren N, et al. Comparing the Clinical Utility and Diagnostic Performance of CSF P-Tau181, P-Tau217, and P-Tau231 Assays. </w:t>
      </w:r>
      <w:r w:rsidRPr="003303A8">
        <w:rPr>
          <w:rFonts w:ascii="Arial" w:hAnsi="Arial" w:cs="Arial"/>
          <w:i/>
          <w:iCs/>
        </w:rPr>
        <w:t>Neurology</w:t>
      </w:r>
      <w:r w:rsidRPr="003303A8">
        <w:rPr>
          <w:rFonts w:ascii="Arial" w:hAnsi="Arial" w:cs="Arial"/>
        </w:rPr>
        <w:t>. 2021;97(17</w:t>
      </w:r>
      <w:proofErr w:type="gramStart"/>
      <w:r w:rsidRPr="003303A8">
        <w:rPr>
          <w:rFonts w:ascii="Arial" w:hAnsi="Arial" w:cs="Arial"/>
        </w:rPr>
        <w:t>):e</w:t>
      </w:r>
      <w:proofErr w:type="gramEnd"/>
      <w:r w:rsidRPr="003303A8">
        <w:rPr>
          <w:rFonts w:ascii="Arial" w:hAnsi="Arial" w:cs="Arial"/>
        </w:rPr>
        <w:t>1681-e1694. doi:10.1212/WNL.0000000000012727</w:t>
      </w:r>
    </w:p>
    <w:p w:rsidRPr="003303A8" w:rsidR="007B388C" w:rsidP="007B388C" w:rsidRDefault="007B388C" w14:paraId="02A8EB3B" w14:textId="77777777">
      <w:pPr>
        <w:pStyle w:val="Bibliography"/>
        <w:rPr>
          <w:rFonts w:ascii="Arial" w:hAnsi="Arial" w:cs="Arial"/>
        </w:rPr>
      </w:pPr>
      <w:r w:rsidRPr="003303A8">
        <w:rPr>
          <w:rFonts w:ascii="Arial" w:hAnsi="Arial" w:cs="Arial"/>
        </w:rPr>
        <w:t>48.</w:t>
      </w:r>
      <w:r w:rsidRPr="003303A8">
        <w:rPr>
          <w:rFonts w:ascii="Arial" w:hAnsi="Arial" w:cs="Arial"/>
        </w:rPr>
        <w:tab/>
      </w:r>
      <w:r w:rsidRPr="003303A8">
        <w:rPr>
          <w:rFonts w:ascii="Arial" w:hAnsi="Arial" w:cs="Arial"/>
        </w:rPr>
        <w:t xml:space="preserve">Chen YR, Liang CS, Chu H, et al. Diagnostic accuracy of blood biomarkers for Alzheimer’s disease and amnestic mild cognitive impairment: A meta-analysis. </w:t>
      </w:r>
      <w:r w:rsidRPr="003303A8">
        <w:rPr>
          <w:rFonts w:ascii="Arial" w:hAnsi="Arial" w:cs="Arial"/>
          <w:i/>
          <w:iCs/>
        </w:rPr>
        <w:t>Ageing Res Rev</w:t>
      </w:r>
      <w:r w:rsidRPr="003303A8">
        <w:rPr>
          <w:rFonts w:ascii="Arial" w:hAnsi="Arial" w:cs="Arial"/>
        </w:rPr>
        <w:t xml:space="preserve">. </w:t>
      </w:r>
      <w:proofErr w:type="gramStart"/>
      <w:r w:rsidRPr="003303A8">
        <w:rPr>
          <w:rFonts w:ascii="Arial" w:hAnsi="Arial" w:cs="Arial"/>
        </w:rPr>
        <w:t>2021;71:101446</w:t>
      </w:r>
      <w:proofErr w:type="gramEnd"/>
      <w:r w:rsidRPr="003303A8">
        <w:rPr>
          <w:rFonts w:ascii="Arial" w:hAnsi="Arial" w:cs="Arial"/>
        </w:rPr>
        <w:t xml:space="preserve">. </w:t>
      </w:r>
      <w:proofErr w:type="gramStart"/>
      <w:r w:rsidRPr="003303A8">
        <w:rPr>
          <w:rFonts w:ascii="Arial" w:hAnsi="Arial" w:cs="Arial"/>
        </w:rPr>
        <w:t>doi:10.1016/j.arr</w:t>
      </w:r>
      <w:proofErr w:type="gramEnd"/>
      <w:r w:rsidRPr="003303A8">
        <w:rPr>
          <w:rFonts w:ascii="Arial" w:hAnsi="Arial" w:cs="Arial"/>
        </w:rPr>
        <w:t>.2021.101446</w:t>
      </w:r>
    </w:p>
    <w:p w:rsidRPr="003303A8" w:rsidR="007B388C" w:rsidP="007B388C" w:rsidRDefault="007B388C" w14:paraId="2554DA07" w14:textId="77777777">
      <w:pPr>
        <w:pStyle w:val="Bibliography"/>
        <w:rPr>
          <w:rFonts w:ascii="Arial" w:hAnsi="Arial" w:cs="Arial"/>
        </w:rPr>
      </w:pPr>
      <w:r w:rsidRPr="003303A8">
        <w:rPr>
          <w:rFonts w:ascii="Arial" w:hAnsi="Arial" w:cs="Arial"/>
        </w:rPr>
        <w:t>49.</w:t>
      </w:r>
      <w:r w:rsidRPr="003303A8">
        <w:rPr>
          <w:rFonts w:ascii="Arial" w:hAnsi="Arial" w:cs="Arial"/>
        </w:rPr>
        <w:tab/>
      </w:r>
      <w:r w:rsidRPr="003303A8">
        <w:rPr>
          <w:rFonts w:ascii="Arial" w:hAnsi="Arial" w:cs="Arial"/>
        </w:rPr>
        <w:t xml:space="preserve">Li M, Jiang Y, Li X, Yin S, Luo H. Ensemble of convolutional neural networks and multilayer perceptron for the diagnosis of mild cognitive impairment and Alzheimer’s disease. </w:t>
      </w:r>
      <w:r w:rsidRPr="003303A8">
        <w:rPr>
          <w:rFonts w:ascii="Arial" w:hAnsi="Arial" w:cs="Arial"/>
          <w:i/>
          <w:iCs/>
        </w:rPr>
        <w:t>Med Phys</w:t>
      </w:r>
      <w:r w:rsidRPr="003303A8">
        <w:rPr>
          <w:rFonts w:ascii="Arial" w:hAnsi="Arial" w:cs="Arial"/>
        </w:rPr>
        <w:t>. 2023;50(1):209-225. doi:10.1002/mp.15985</w:t>
      </w:r>
    </w:p>
    <w:p w:rsidRPr="003303A8" w:rsidR="007B388C" w:rsidP="007B388C" w:rsidRDefault="007B388C" w14:paraId="433CFCBC" w14:textId="77777777">
      <w:pPr>
        <w:pStyle w:val="Bibliography"/>
        <w:rPr>
          <w:rFonts w:ascii="Arial" w:hAnsi="Arial" w:cs="Arial"/>
        </w:rPr>
      </w:pPr>
      <w:r w:rsidRPr="003303A8">
        <w:rPr>
          <w:rFonts w:ascii="Arial" w:hAnsi="Arial" w:cs="Arial"/>
        </w:rPr>
        <w:t>50.</w:t>
      </w:r>
      <w:r w:rsidRPr="003303A8">
        <w:rPr>
          <w:rFonts w:ascii="Arial" w:hAnsi="Arial" w:cs="Arial"/>
        </w:rPr>
        <w:tab/>
      </w:r>
      <w:r w:rsidRPr="003303A8">
        <w:rPr>
          <w:rFonts w:ascii="Arial" w:hAnsi="Arial" w:cs="Arial"/>
        </w:rPr>
        <w:t xml:space="preserve">de Wolf F, Ghanbari M, Licher S, et al. Plasma tau, neurofilament light chain and amyloid-β levels and risk of dementia; a population-based cohort study. </w:t>
      </w:r>
      <w:r w:rsidRPr="003303A8">
        <w:rPr>
          <w:rFonts w:ascii="Arial" w:hAnsi="Arial" w:cs="Arial"/>
          <w:i/>
          <w:iCs/>
        </w:rPr>
        <w:t>Brain</w:t>
      </w:r>
      <w:r w:rsidRPr="003303A8">
        <w:rPr>
          <w:rFonts w:ascii="Arial" w:hAnsi="Arial" w:cs="Arial"/>
        </w:rPr>
        <w:t>. 2020;143(4):1220-1232. doi:10.1093/brain/awaa054</w:t>
      </w:r>
    </w:p>
    <w:p w:rsidRPr="003303A8" w:rsidR="007B388C" w:rsidP="007B388C" w:rsidRDefault="007B388C" w14:paraId="15B8A000" w14:textId="77777777">
      <w:pPr>
        <w:pStyle w:val="Bibliography"/>
        <w:rPr>
          <w:rFonts w:ascii="Arial" w:hAnsi="Arial" w:cs="Arial"/>
        </w:rPr>
      </w:pPr>
      <w:r w:rsidRPr="003303A8">
        <w:rPr>
          <w:rFonts w:ascii="Arial" w:hAnsi="Arial" w:cs="Arial"/>
        </w:rPr>
        <w:t>51.</w:t>
      </w:r>
      <w:r w:rsidRPr="003303A8">
        <w:rPr>
          <w:rFonts w:ascii="Arial" w:hAnsi="Arial" w:cs="Arial"/>
        </w:rPr>
        <w:tab/>
      </w:r>
      <w:r w:rsidRPr="003303A8">
        <w:rPr>
          <w:rFonts w:ascii="Arial" w:hAnsi="Arial" w:cs="Arial"/>
        </w:rPr>
        <w:t xml:space="preserve">Cox CG, Salazar CR, Birnbaum AI, et al. Alzheimer’s Disease Biomarker Decision-Making among Patients with Mild Cognitive Impairment and Their Care Partners. </w:t>
      </w:r>
      <w:r w:rsidRPr="003303A8">
        <w:rPr>
          <w:rFonts w:ascii="Arial" w:hAnsi="Arial" w:cs="Arial"/>
          <w:i/>
          <w:iCs/>
        </w:rPr>
        <w:t>J Prev Alzheimers Dis</w:t>
      </w:r>
      <w:r w:rsidRPr="003303A8">
        <w:rPr>
          <w:rFonts w:ascii="Arial" w:hAnsi="Arial" w:cs="Arial"/>
        </w:rPr>
        <w:t>. 2024;11(2):285-293. doi:10.14283/jpad.2024.10</w:t>
      </w:r>
    </w:p>
    <w:p w:rsidRPr="003303A8" w:rsidR="007B388C" w:rsidP="007B388C" w:rsidRDefault="007B388C" w14:paraId="66DEE276" w14:textId="77777777">
      <w:pPr>
        <w:pStyle w:val="Bibliography"/>
        <w:rPr>
          <w:rFonts w:ascii="Arial" w:hAnsi="Arial" w:cs="Arial"/>
        </w:rPr>
      </w:pPr>
      <w:r w:rsidRPr="003303A8">
        <w:rPr>
          <w:rFonts w:ascii="Arial" w:hAnsi="Arial" w:cs="Arial"/>
        </w:rPr>
        <w:t>52.</w:t>
      </w:r>
      <w:r w:rsidRPr="003303A8">
        <w:rPr>
          <w:rFonts w:ascii="Arial" w:hAnsi="Arial" w:cs="Arial"/>
        </w:rPr>
        <w:tab/>
      </w:r>
      <w:r w:rsidRPr="003303A8">
        <w:rPr>
          <w:rFonts w:ascii="Arial" w:hAnsi="Arial" w:cs="Arial"/>
        </w:rPr>
        <w:t xml:space="preserve">Leuzy A, Ashton NJ, Mattsson-Carlgren N, et al. 2020 update on the clinical validity of cerebrospinal fluid amyloid, tau, and phospho-tau as biomarkers for Alzheimer’s disease in the context of a structured 5-phase development framework. </w:t>
      </w:r>
      <w:r w:rsidRPr="003303A8">
        <w:rPr>
          <w:rFonts w:ascii="Arial" w:hAnsi="Arial" w:cs="Arial"/>
          <w:i/>
          <w:iCs/>
        </w:rPr>
        <w:t>Eur J Nucl Med Mol Imaging</w:t>
      </w:r>
      <w:r w:rsidRPr="003303A8">
        <w:rPr>
          <w:rFonts w:ascii="Arial" w:hAnsi="Arial" w:cs="Arial"/>
        </w:rPr>
        <w:t>. 2021;48(7):2121-2139. doi:10.1007/s00259-021-05258-7</w:t>
      </w:r>
    </w:p>
    <w:p w:rsidRPr="003303A8" w:rsidR="007B388C" w:rsidP="007B388C" w:rsidRDefault="007B388C" w14:paraId="0FA2A721" w14:textId="77777777">
      <w:pPr>
        <w:pStyle w:val="Bibliography"/>
        <w:rPr>
          <w:rFonts w:ascii="Arial" w:hAnsi="Arial" w:cs="Arial"/>
        </w:rPr>
      </w:pPr>
      <w:r w:rsidRPr="003303A8">
        <w:rPr>
          <w:rFonts w:ascii="Arial" w:hAnsi="Arial" w:cs="Arial"/>
        </w:rPr>
        <w:t>53.</w:t>
      </w:r>
      <w:r w:rsidRPr="003303A8">
        <w:rPr>
          <w:rFonts w:ascii="Arial" w:hAnsi="Arial" w:cs="Arial"/>
        </w:rPr>
        <w:tab/>
      </w:r>
      <w:r w:rsidRPr="003303A8">
        <w:rPr>
          <w:rFonts w:ascii="Arial" w:hAnsi="Arial" w:cs="Arial"/>
        </w:rPr>
        <w:t>Frontiers | Utilizing portable electroencephalography to screen for pathology of Alzheimer’s disease: a methodological advancement in diagnosis of neurodegenerative diseases. Accessed March 12, 2025. https://www.frontiersin.org/journals/psychiatry/articles/10.3389/fpsyt.2024.1392158/full</w:t>
      </w:r>
    </w:p>
    <w:p w:rsidRPr="003303A8" w:rsidR="007B388C" w:rsidP="007B388C" w:rsidRDefault="007B388C" w14:paraId="6DF263CB" w14:textId="77777777">
      <w:pPr>
        <w:pStyle w:val="Bibliography"/>
        <w:rPr>
          <w:rFonts w:ascii="Arial" w:hAnsi="Arial" w:cs="Arial"/>
        </w:rPr>
      </w:pPr>
      <w:r w:rsidRPr="003303A8">
        <w:rPr>
          <w:rFonts w:ascii="Arial" w:hAnsi="Arial" w:cs="Arial"/>
        </w:rPr>
        <w:t>54.</w:t>
      </w:r>
      <w:r w:rsidRPr="003303A8">
        <w:rPr>
          <w:rFonts w:ascii="Arial" w:hAnsi="Arial" w:cs="Arial"/>
        </w:rPr>
        <w:tab/>
      </w:r>
      <w:r w:rsidRPr="003303A8">
        <w:rPr>
          <w:rFonts w:ascii="Arial" w:hAnsi="Arial" w:cs="Arial"/>
        </w:rPr>
        <w:t xml:space="preserve">Mai Y, Cao Z, Zhao L, et al. The role of visual rating and automated brain volumetry in early detection and differential diagnosis of Alzheimer’s disease. </w:t>
      </w:r>
      <w:r w:rsidRPr="003303A8">
        <w:rPr>
          <w:rFonts w:ascii="Arial" w:hAnsi="Arial" w:cs="Arial"/>
          <w:i/>
          <w:iCs/>
        </w:rPr>
        <w:t>CNS Neurosci Ther</w:t>
      </w:r>
      <w:r w:rsidRPr="003303A8">
        <w:rPr>
          <w:rFonts w:ascii="Arial" w:hAnsi="Arial" w:cs="Arial"/>
        </w:rPr>
        <w:t>. 2024;30(4</w:t>
      </w:r>
      <w:proofErr w:type="gramStart"/>
      <w:r w:rsidRPr="003303A8">
        <w:rPr>
          <w:rFonts w:ascii="Arial" w:hAnsi="Arial" w:cs="Arial"/>
        </w:rPr>
        <w:t>):e</w:t>
      </w:r>
      <w:proofErr w:type="gramEnd"/>
      <w:r w:rsidRPr="003303A8">
        <w:rPr>
          <w:rFonts w:ascii="Arial" w:hAnsi="Arial" w:cs="Arial"/>
        </w:rPr>
        <w:t>14492. doi:10.1111/cns.14492</w:t>
      </w:r>
    </w:p>
    <w:p w:rsidRPr="003303A8" w:rsidR="007B388C" w:rsidP="007B388C" w:rsidRDefault="007B388C" w14:paraId="06EB558A" w14:textId="77777777">
      <w:pPr>
        <w:pStyle w:val="Bibliography"/>
        <w:rPr>
          <w:rFonts w:ascii="Arial" w:hAnsi="Arial" w:cs="Arial"/>
        </w:rPr>
      </w:pPr>
      <w:r w:rsidRPr="003303A8">
        <w:rPr>
          <w:rFonts w:ascii="Arial" w:hAnsi="Arial" w:cs="Arial"/>
        </w:rPr>
        <w:t>55.</w:t>
      </w:r>
      <w:r w:rsidRPr="003303A8">
        <w:rPr>
          <w:rFonts w:ascii="Arial" w:hAnsi="Arial" w:cs="Arial"/>
        </w:rPr>
        <w:tab/>
      </w:r>
      <w:r w:rsidRPr="003303A8">
        <w:rPr>
          <w:rFonts w:ascii="Arial" w:hAnsi="Arial" w:cs="Arial"/>
        </w:rPr>
        <w:t xml:space="preserve">Wang X, Li F, Tian J, Gao Q, Zhu H. Bayesian estimation for the accuracy of three neuropsychological tests in detecting Alzheimer’s disease and mild cognitive impairment: a retrospective analysis of the ADNI database. </w:t>
      </w:r>
      <w:r w:rsidRPr="003303A8">
        <w:rPr>
          <w:rFonts w:ascii="Arial" w:hAnsi="Arial" w:cs="Arial"/>
          <w:i/>
          <w:iCs/>
        </w:rPr>
        <w:t>Eur J Med Res</w:t>
      </w:r>
      <w:r w:rsidRPr="003303A8">
        <w:rPr>
          <w:rFonts w:ascii="Arial" w:hAnsi="Arial" w:cs="Arial"/>
        </w:rPr>
        <w:t>. 2023;28(1):427. doi:10.1186/s40001-023-01265-6</w:t>
      </w:r>
    </w:p>
    <w:p w:rsidRPr="003303A8" w:rsidR="007B388C" w:rsidP="007B388C" w:rsidRDefault="007B388C" w14:paraId="0D3D4D1A" w14:textId="77777777">
      <w:pPr>
        <w:pStyle w:val="Bibliography"/>
        <w:rPr>
          <w:rFonts w:ascii="Arial" w:hAnsi="Arial" w:cs="Arial"/>
        </w:rPr>
      </w:pPr>
      <w:r w:rsidRPr="003303A8">
        <w:rPr>
          <w:rFonts w:ascii="Arial" w:hAnsi="Arial" w:cs="Arial"/>
        </w:rPr>
        <w:t>56.</w:t>
      </w:r>
      <w:r w:rsidRPr="003303A8">
        <w:rPr>
          <w:rFonts w:ascii="Arial" w:hAnsi="Arial" w:cs="Arial"/>
        </w:rPr>
        <w:tab/>
      </w:r>
      <w:r w:rsidRPr="003303A8">
        <w:rPr>
          <w:rFonts w:ascii="Arial" w:hAnsi="Arial" w:cs="Arial"/>
        </w:rPr>
        <w:t xml:space="preserve">Cano SJ, Posner HB, Moline ML, et al. The ADAS-cog in Alzheimer’s disease clinical trials: psychometric evaluation of the sum and its parts. </w:t>
      </w:r>
      <w:r w:rsidRPr="003303A8">
        <w:rPr>
          <w:rFonts w:ascii="Arial" w:hAnsi="Arial" w:cs="Arial"/>
          <w:i/>
          <w:iCs/>
        </w:rPr>
        <w:t>J Neurol Neurosurg Psychiatry</w:t>
      </w:r>
      <w:r w:rsidRPr="003303A8">
        <w:rPr>
          <w:rFonts w:ascii="Arial" w:hAnsi="Arial" w:cs="Arial"/>
        </w:rPr>
        <w:t>. 2010;81(12):1363-1368. doi:10.1136/jnnp.2009.204008</w:t>
      </w:r>
    </w:p>
    <w:p w:rsidRPr="003303A8" w:rsidR="007B388C" w:rsidP="007B388C" w:rsidRDefault="007B388C" w14:paraId="03C39A3E" w14:textId="77777777">
      <w:pPr>
        <w:pStyle w:val="Bibliography"/>
        <w:rPr>
          <w:rFonts w:ascii="Arial" w:hAnsi="Arial" w:cs="Arial"/>
        </w:rPr>
      </w:pPr>
      <w:r w:rsidRPr="003303A8">
        <w:rPr>
          <w:rFonts w:ascii="Arial" w:hAnsi="Arial" w:cs="Arial"/>
        </w:rPr>
        <w:t>57.</w:t>
      </w:r>
      <w:r w:rsidRPr="003303A8">
        <w:rPr>
          <w:rFonts w:ascii="Arial" w:hAnsi="Arial" w:cs="Arial"/>
        </w:rPr>
        <w:tab/>
      </w:r>
      <w:r w:rsidRPr="003303A8">
        <w:rPr>
          <w:rFonts w:ascii="Arial" w:hAnsi="Arial" w:cs="Arial"/>
        </w:rPr>
        <w:t xml:space="preserve">de Jager CA, Budge MM, Clarke R. Utility of TICS-M for the assessment of cognitive function in older adults. </w:t>
      </w:r>
      <w:r w:rsidRPr="003303A8">
        <w:rPr>
          <w:rFonts w:ascii="Arial" w:hAnsi="Arial" w:cs="Arial"/>
          <w:i/>
          <w:iCs/>
        </w:rPr>
        <w:t>Int J Geriatr Psychiatry</w:t>
      </w:r>
      <w:r w:rsidRPr="003303A8">
        <w:rPr>
          <w:rFonts w:ascii="Arial" w:hAnsi="Arial" w:cs="Arial"/>
        </w:rPr>
        <w:t>. 2003;18(4):318-324. doi:10.1002/gps.830</w:t>
      </w:r>
    </w:p>
    <w:p w:rsidRPr="003303A8" w:rsidR="007B388C" w:rsidP="007B388C" w:rsidRDefault="007B388C" w14:paraId="0200EE0E" w14:textId="77777777">
      <w:pPr>
        <w:pStyle w:val="Bibliography"/>
        <w:rPr>
          <w:rFonts w:ascii="Arial" w:hAnsi="Arial" w:cs="Arial"/>
        </w:rPr>
      </w:pPr>
      <w:r w:rsidRPr="003303A8">
        <w:rPr>
          <w:rFonts w:ascii="Arial" w:hAnsi="Arial" w:cs="Arial"/>
        </w:rPr>
        <w:t>58.</w:t>
      </w:r>
      <w:r w:rsidRPr="003303A8">
        <w:rPr>
          <w:rFonts w:ascii="Arial" w:hAnsi="Arial" w:cs="Arial"/>
        </w:rPr>
        <w:tab/>
      </w:r>
      <w:r w:rsidRPr="003303A8">
        <w:rPr>
          <w:rFonts w:ascii="Arial" w:hAnsi="Arial" w:cs="Arial"/>
        </w:rPr>
        <w:t xml:space="preserve">Chapman KR, Bing-Canar H, Alosco ML, et al. Mini Mental State Examination and Logical Memory scores for entry into Alzheimer’s disease trials. </w:t>
      </w:r>
      <w:r w:rsidRPr="003303A8">
        <w:rPr>
          <w:rFonts w:ascii="Arial" w:hAnsi="Arial" w:cs="Arial"/>
          <w:i/>
          <w:iCs/>
        </w:rPr>
        <w:t>Alzheimers Res Ther</w:t>
      </w:r>
      <w:r w:rsidRPr="003303A8">
        <w:rPr>
          <w:rFonts w:ascii="Arial" w:hAnsi="Arial" w:cs="Arial"/>
        </w:rPr>
        <w:t>. 2016;8(1):9. doi:10.1186/s13195-016-0176-z</w:t>
      </w:r>
    </w:p>
    <w:p w:rsidRPr="003303A8" w:rsidR="007B388C" w:rsidP="007B388C" w:rsidRDefault="007B388C" w14:paraId="78B94508" w14:textId="77777777">
      <w:pPr>
        <w:pStyle w:val="Bibliography"/>
        <w:rPr>
          <w:rFonts w:ascii="Arial" w:hAnsi="Arial" w:cs="Arial"/>
        </w:rPr>
      </w:pPr>
      <w:r w:rsidRPr="003303A8">
        <w:rPr>
          <w:rFonts w:ascii="Arial" w:hAnsi="Arial" w:cs="Arial"/>
        </w:rPr>
        <w:t>59.</w:t>
      </w:r>
      <w:r w:rsidRPr="003303A8">
        <w:rPr>
          <w:rFonts w:ascii="Arial" w:hAnsi="Arial" w:cs="Arial"/>
        </w:rPr>
        <w:tab/>
      </w:r>
      <w:r w:rsidRPr="003303A8">
        <w:rPr>
          <w:rFonts w:ascii="Arial" w:hAnsi="Arial" w:cs="Arial"/>
        </w:rPr>
        <w:t xml:space="preserve">Molnar FJ, Benjamin S, Hawkins SA, Briscoe M, Ehsan S. One Size Does Not Fit All: Choosing Practical Cognitive Screening Tools for Your Practice. </w:t>
      </w:r>
      <w:r w:rsidRPr="003303A8">
        <w:rPr>
          <w:rFonts w:ascii="Arial" w:hAnsi="Arial" w:cs="Arial"/>
          <w:i/>
          <w:iCs/>
        </w:rPr>
        <w:t>J Am Geriatr Soc</w:t>
      </w:r>
      <w:r w:rsidRPr="003303A8">
        <w:rPr>
          <w:rFonts w:ascii="Arial" w:hAnsi="Arial" w:cs="Arial"/>
        </w:rPr>
        <w:t>. 2020;68(10):2207-2213. doi:10.1111/jgs.16713</w:t>
      </w:r>
    </w:p>
    <w:p w:rsidRPr="003303A8" w:rsidR="007B388C" w:rsidP="007B388C" w:rsidRDefault="007B388C" w14:paraId="769A3BB7" w14:textId="77777777">
      <w:pPr>
        <w:pStyle w:val="Bibliography"/>
        <w:rPr>
          <w:rFonts w:ascii="Arial" w:hAnsi="Arial" w:cs="Arial"/>
        </w:rPr>
      </w:pPr>
      <w:r w:rsidRPr="003303A8">
        <w:rPr>
          <w:rFonts w:ascii="Arial" w:hAnsi="Arial" w:cs="Arial"/>
        </w:rPr>
        <w:t>60.</w:t>
      </w:r>
      <w:r w:rsidRPr="003303A8">
        <w:rPr>
          <w:rFonts w:ascii="Arial" w:hAnsi="Arial" w:cs="Arial"/>
        </w:rPr>
        <w:tab/>
      </w:r>
      <w:r w:rsidRPr="003303A8">
        <w:rPr>
          <w:rFonts w:ascii="Arial" w:hAnsi="Arial" w:cs="Arial"/>
        </w:rPr>
        <w:t xml:space="preserve">Alexopoulos P, Greim B, Nadler K, et al. Validation of the Addenbrooke’s Cognitive Examination for Detecting Early Alzheimer’s Disease and Mild Vascular Dementia in a German Population. </w:t>
      </w:r>
      <w:r w:rsidRPr="003303A8">
        <w:rPr>
          <w:rFonts w:ascii="Arial" w:hAnsi="Arial" w:cs="Arial"/>
          <w:i/>
          <w:iCs/>
        </w:rPr>
        <w:t>Dement Geriatr Cogn Disord</w:t>
      </w:r>
      <w:r w:rsidRPr="003303A8">
        <w:rPr>
          <w:rFonts w:ascii="Arial" w:hAnsi="Arial" w:cs="Arial"/>
        </w:rPr>
        <w:t>. 2006;22(5-6):385-391. doi:10.1159/000095642</w:t>
      </w:r>
    </w:p>
    <w:p w:rsidRPr="003303A8" w:rsidR="007B388C" w:rsidP="007B388C" w:rsidRDefault="007B388C" w14:paraId="15F1DD56" w14:textId="77777777">
      <w:pPr>
        <w:pStyle w:val="Bibliography"/>
        <w:rPr>
          <w:rFonts w:ascii="Arial" w:hAnsi="Arial" w:cs="Arial"/>
        </w:rPr>
      </w:pPr>
      <w:r w:rsidRPr="003303A8">
        <w:rPr>
          <w:rFonts w:ascii="Arial" w:hAnsi="Arial" w:cs="Arial"/>
        </w:rPr>
        <w:t>61.</w:t>
      </w:r>
      <w:r w:rsidRPr="003303A8">
        <w:rPr>
          <w:rFonts w:ascii="Arial" w:hAnsi="Arial" w:cs="Arial"/>
        </w:rPr>
        <w:tab/>
      </w:r>
      <w:r w:rsidRPr="003303A8">
        <w:rPr>
          <w:rFonts w:ascii="Arial" w:hAnsi="Arial" w:cs="Arial"/>
        </w:rPr>
        <w:t xml:space="preserve">Boycheva E, Contador I, Fernández-Calvo B, et al. Spanish version of the Mattis Dementia Rating Scale-2 for early detection of Alzheimer’s disease and mild cognitive impairment. </w:t>
      </w:r>
      <w:r w:rsidRPr="003303A8">
        <w:rPr>
          <w:rFonts w:ascii="Arial" w:hAnsi="Arial" w:cs="Arial"/>
          <w:i/>
          <w:iCs/>
        </w:rPr>
        <w:t>Int J Geriatr Psychiatry</w:t>
      </w:r>
      <w:r w:rsidRPr="003303A8">
        <w:rPr>
          <w:rFonts w:ascii="Arial" w:hAnsi="Arial" w:cs="Arial"/>
        </w:rPr>
        <w:t>. 2018;33(6):832-840. doi:10.1002/gps.4707</w:t>
      </w:r>
    </w:p>
    <w:p w:rsidRPr="003303A8" w:rsidR="007B388C" w:rsidP="007B388C" w:rsidRDefault="007B388C" w14:paraId="7AC4D779" w14:textId="77777777">
      <w:pPr>
        <w:pStyle w:val="Bibliography"/>
        <w:rPr>
          <w:rFonts w:ascii="Arial" w:hAnsi="Arial" w:cs="Arial"/>
        </w:rPr>
      </w:pPr>
      <w:r w:rsidRPr="003303A8">
        <w:rPr>
          <w:rFonts w:ascii="Arial" w:hAnsi="Arial" w:cs="Arial"/>
        </w:rPr>
        <w:t>62.</w:t>
      </w:r>
      <w:r w:rsidRPr="003303A8">
        <w:rPr>
          <w:rFonts w:ascii="Arial" w:hAnsi="Arial" w:cs="Arial"/>
        </w:rPr>
        <w:tab/>
      </w:r>
      <w:r w:rsidRPr="003303A8">
        <w:rPr>
          <w:rFonts w:ascii="Arial" w:hAnsi="Arial" w:cs="Arial"/>
        </w:rPr>
        <w:t xml:space="preserve">Balogh R. </w:t>
      </w:r>
      <w:r w:rsidRPr="003303A8">
        <w:rPr>
          <w:rFonts w:ascii="Arial" w:hAnsi="Arial" w:cs="Arial"/>
          <w:i/>
          <w:iCs/>
        </w:rPr>
        <w:t>Early Recognition of Neurocognitive Disorders: Dementia Screening in Primary Care and the Detection of Mild Cognitive Impairment via Verbal Fluency Tests</w:t>
      </w:r>
      <w:r w:rsidRPr="003303A8">
        <w:rPr>
          <w:rFonts w:ascii="Arial" w:hAnsi="Arial" w:cs="Arial"/>
        </w:rPr>
        <w:t>. PhD. Szegedi Tudományegyetem; 2023. doi:10.14232/phd.11568</w:t>
      </w:r>
    </w:p>
    <w:p w:rsidRPr="003303A8" w:rsidR="007B388C" w:rsidP="007B388C" w:rsidRDefault="007B388C" w14:paraId="6C8B35BD" w14:textId="77777777">
      <w:pPr>
        <w:pStyle w:val="Bibliography"/>
        <w:rPr>
          <w:rFonts w:ascii="Arial" w:hAnsi="Arial" w:cs="Arial"/>
        </w:rPr>
      </w:pPr>
      <w:r w:rsidRPr="003303A8">
        <w:rPr>
          <w:rFonts w:ascii="Arial" w:hAnsi="Arial" w:cs="Arial"/>
        </w:rPr>
        <w:t>63.</w:t>
      </w:r>
      <w:r w:rsidRPr="003303A8">
        <w:rPr>
          <w:rFonts w:ascii="Arial" w:hAnsi="Arial" w:cs="Arial"/>
        </w:rPr>
        <w:tab/>
      </w:r>
      <w:r w:rsidRPr="003303A8">
        <w:rPr>
          <w:rFonts w:ascii="Arial" w:hAnsi="Arial" w:cs="Arial"/>
        </w:rPr>
        <w:t xml:space="preserve">Parra MA. Barriers to Effective Memory Assessments for Alzheimer’s Disease. </w:t>
      </w:r>
      <w:r w:rsidRPr="003303A8">
        <w:rPr>
          <w:rFonts w:ascii="Arial" w:hAnsi="Arial" w:cs="Arial"/>
          <w:i/>
          <w:iCs/>
        </w:rPr>
        <w:t>J Alzheimer’s Dis</w:t>
      </w:r>
      <w:r w:rsidRPr="003303A8">
        <w:rPr>
          <w:rFonts w:ascii="Arial" w:hAnsi="Arial" w:cs="Arial"/>
        </w:rPr>
        <w:t>. 2022;90(3):981-988. doi:10.3233/JAD-215445</w:t>
      </w:r>
    </w:p>
    <w:p w:rsidRPr="003303A8" w:rsidR="007B388C" w:rsidP="007B388C" w:rsidRDefault="007B388C" w14:paraId="33998C5F" w14:textId="77777777">
      <w:pPr>
        <w:pStyle w:val="Bibliography"/>
        <w:rPr>
          <w:rFonts w:ascii="Arial" w:hAnsi="Arial" w:cs="Arial"/>
        </w:rPr>
      </w:pPr>
      <w:r w:rsidRPr="003303A8">
        <w:rPr>
          <w:rFonts w:ascii="Arial" w:hAnsi="Arial" w:cs="Arial"/>
        </w:rPr>
        <w:t>64.</w:t>
      </w:r>
      <w:r w:rsidRPr="003303A8">
        <w:rPr>
          <w:rFonts w:ascii="Arial" w:hAnsi="Arial" w:cs="Arial"/>
        </w:rPr>
        <w:tab/>
      </w:r>
      <w:r w:rsidRPr="003303A8">
        <w:rPr>
          <w:rFonts w:ascii="Arial" w:hAnsi="Arial" w:cs="Arial"/>
        </w:rPr>
        <w:t xml:space="preserve">Sanderson-Cimino M, Elman JA, Tu XM, et al. Cognitive practice effects delay diagnosis of MCI: Implications for clinical trials. </w:t>
      </w:r>
      <w:r w:rsidRPr="003303A8">
        <w:rPr>
          <w:rFonts w:ascii="Arial" w:hAnsi="Arial" w:cs="Arial"/>
          <w:i/>
          <w:iCs/>
        </w:rPr>
        <w:t>Alzheimers Dement Transl Res Clin Interv</w:t>
      </w:r>
      <w:r w:rsidRPr="003303A8">
        <w:rPr>
          <w:rFonts w:ascii="Arial" w:hAnsi="Arial" w:cs="Arial"/>
        </w:rPr>
        <w:t>. 2022;8(1</w:t>
      </w:r>
      <w:proofErr w:type="gramStart"/>
      <w:r w:rsidRPr="003303A8">
        <w:rPr>
          <w:rFonts w:ascii="Arial" w:hAnsi="Arial" w:cs="Arial"/>
        </w:rPr>
        <w:t>):e</w:t>
      </w:r>
      <w:proofErr w:type="gramEnd"/>
      <w:r w:rsidRPr="003303A8">
        <w:rPr>
          <w:rFonts w:ascii="Arial" w:hAnsi="Arial" w:cs="Arial"/>
        </w:rPr>
        <w:t>12228. doi:10.1002/trc2.12228</w:t>
      </w:r>
    </w:p>
    <w:p w:rsidRPr="003303A8" w:rsidR="007B388C" w:rsidP="007B388C" w:rsidRDefault="007B388C" w14:paraId="24AAE3F7" w14:textId="77777777">
      <w:pPr>
        <w:pStyle w:val="Bibliography"/>
        <w:rPr>
          <w:rFonts w:ascii="Arial" w:hAnsi="Arial" w:cs="Arial"/>
        </w:rPr>
      </w:pPr>
      <w:r w:rsidRPr="003303A8">
        <w:rPr>
          <w:rFonts w:ascii="Arial" w:hAnsi="Arial" w:cs="Arial"/>
        </w:rPr>
        <w:t>65.</w:t>
      </w:r>
      <w:r w:rsidRPr="003303A8">
        <w:rPr>
          <w:rFonts w:ascii="Arial" w:hAnsi="Arial" w:cs="Arial"/>
        </w:rPr>
        <w:tab/>
      </w:r>
      <w:r w:rsidRPr="003303A8">
        <w:rPr>
          <w:rFonts w:ascii="Arial" w:hAnsi="Arial" w:cs="Arial"/>
        </w:rPr>
        <w:t xml:space="preserve">Sanderson-Cimino M, Elman JA, Tu XM, et al. Practice Effects in Mild Cognitive Impairment Increase Reversion Rates and Delay Detection of New Impairments. </w:t>
      </w:r>
      <w:r w:rsidRPr="003303A8">
        <w:rPr>
          <w:rFonts w:ascii="Arial" w:hAnsi="Arial" w:cs="Arial"/>
          <w:i/>
          <w:iCs/>
        </w:rPr>
        <w:t>Front Aging Neurosci</w:t>
      </w:r>
      <w:r w:rsidRPr="003303A8">
        <w:rPr>
          <w:rFonts w:ascii="Arial" w:hAnsi="Arial" w:cs="Arial"/>
        </w:rPr>
        <w:t>. 2022;14. doi:10.3389/fnagi.2022.847315</w:t>
      </w:r>
    </w:p>
    <w:p w:rsidRPr="003303A8" w:rsidR="007B388C" w:rsidP="007B388C" w:rsidRDefault="007B388C" w14:paraId="4AF85133" w14:textId="77777777">
      <w:pPr>
        <w:pStyle w:val="Bibliography"/>
        <w:rPr>
          <w:rFonts w:ascii="Arial" w:hAnsi="Arial" w:cs="Arial"/>
        </w:rPr>
      </w:pPr>
      <w:r w:rsidRPr="003303A8">
        <w:rPr>
          <w:rFonts w:ascii="Arial" w:hAnsi="Arial" w:cs="Arial"/>
        </w:rPr>
        <w:t>66.</w:t>
      </w:r>
      <w:r w:rsidRPr="003303A8">
        <w:rPr>
          <w:rFonts w:ascii="Arial" w:hAnsi="Arial" w:cs="Arial"/>
        </w:rPr>
        <w:tab/>
      </w:r>
      <w:r w:rsidRPr="003303A8">
        <w:rPr>
          <w:rFonts w:ascii="Arial" w:hAnsi="Arial" w:cs="Arial"/>
        </w:rPr>
        <w:t xml:space="preserve">O’Caoimh R, Coghlan P, O’Donovan MR, et al. Screening for Cognitive Impairment with the Quick Memory Check: Validation of a Caregiver Administered Cognitive Screen. </w:t>
      </w:r>
      <w:r w:rsidRPr="003303A8">
        <w:rPr>
          <w:rFonts w:ascii="Arial" w:hAnsi="Arial" w:cs="Arial"/>
          <w:i/>
          <w:iCs/>
        </w:rPr>
        <w:t>J Alzheimer’s Dis</w:t>
      </w:r>
      <w:r w:rsidRPr="003303A8">
        <w:rPr>
          <w:rFonts w:ascii="Arial" w:hAnsi="Arial" w:cs="Arial"/>
        </w:rPr>
        <w:t>. 2022;90(4):1417-1427. doi:10.3233/JAD-220339</w:t>
      </w:r>
    </w:p>
    <w:p w:rsidRPr="003303A8" w:rsidR="007B388C" w:rsidP="007B388C" w:rsidRDefault="007B388C" w14:paraId="334FDC88" w14:textId="77777777">
      <w:pPr>
        <w:pStyle w:val="Bibliography"/>
        <w:rPr>
          <w:rFonts w:ascii="Arial" w:hAnsi="Arial" w:cs="Arial"/>
        </w:rPr>
      </w:pPr>
      <w:r w:rsidRPr="003303A8">
        <w:rPr>
          <w:rFonts w:ascii="Arial" w:hAnsi="Arial" w:cs="Arial"/>
        </w:rPr>
        <w:t>67.</w:t>
      </w:r>
      <w:r w:rsidRPr="003303A8">
        <w:rPr>
          <w:rFonts w:ascii="Arial" w:hAnsi="Arial" w:cs="Arial"/>
        </w:rPr>
        <w:tab/>
      </w:r>
      <w:r w:rsidRPr="003303A8">
        <w:rPr>
          <w:rFonts w:ascii="Arial" w:hAnsi="Arial" w:cs="Arial"/>
        </w:rPr>
        <w:t xml:space="preserve">Scharre DW, Chang S ing, Nagaraja HN, Wheeler NC, Kataki M. Self-Administered Gerocognitive Examination: longitudinal cohort testing for the early detection of dementia conversion. </w:t>
      </w:r>
      <w:r w:rsidRPr="003303A8">
        <w:rPr>
          <w:rFonts w:ascii="Arial" w:hAnsi="Arial" w:cs="Arial"/>
          <w:i/>
          <w:iCs/>
        </w:rPr>
        <w:t>Alzheimers Res Ther</w:t>
      </w:r>
      <w:r w:rsidRPr="003303A8">
        <w:rPr>
          <w:rFonts w:ascii="Arial" w:hAnsi="Arial" w:cs="Arial"/>
        </w:rPr>
        <w:t>. 2021;13(1):192. doi:10.1186/s13195-021-00930-4</w:t>
      </w:r>
    </w:p>
    <w:p w:rsidRPr="003303A8" w:rsidR="007B388C" w:rsidP="007B388C" w:rsidRDefault="007B388C" w14:paraId="19CC206E" w14:textId="77777777">
      <w:pPr>
        <w:pStyle w:val="Bibliography"/>
        <w:rPr>
          <w:rFonts w:ascii="Arial" w:hAnsi="Arial" w:cs="Arial"/>
        </w:rPr>
      </w:pPr>
      <w:r w:rsidRPr="003303A8">
        <w:rPr>
          <w:rFonts w:ascii="Arial" w:hAnsi="Arial" w:cs="Arial"/>
        </w:rPr>
        <w:t>68.</w:t>
      </w:r>
      <w:r w:rsidRPr="003303A8">
        <w:rPr>
          <w:rFonts w:ascii="Arial" w:hAnsi="Arial" w:cs="Arial"/>
        </w:rPr>
        <w:tab/>
      </w:r>
      <w:r w:rsidRPr="003303A8">
        <w:rPr>
          <w:rFonts w:ascii="Arial" w:hAnsi="Arial" w:cs="Arial"/>
        </w:rPr>
        <w:t xml:space="preserve">Babulal GM, Zha W, Trani JF, et al. Identifying Gaps and Barriers in Alzheimer’s Disease and Related Dementia Research and Management in Low- and Middle-Income Countries: A Survey of Health Professionals and Researchers. </w:t>
      </w:r>
      <w:r w:rsidRPr="003303A8">
        <w:rPr>
          <w:rFonts w:ascii="Arial" w:hAnsi="Arial" w:cs="Arial"/>
          <w:i/>
          <w:iCs/>
        </w:rPr>
        <w:t>J Alzheimers Dis JAD</w:t>
      </w:r>
      <w:r w:rsidRPr="003303A8">
        <w:rPr>
          <w:rFonts w:ascii="Arial" w:hAnsi="Arial" w:cs="Arial"/>
        </w:rPr>
        <w:t>. 2024;101(4):1307-1320. doi:10.3233/JAD-240650</w:t>
      </w:r>
    </w:p>
    <w:p w:rsidRPr="003303A8" w:rsidR="007B388C" w:rsidP="007B388C" w:rsidRDefault="007B388C" w14:paraId="4704D954" w14:textId="77777777">
      <w:pPr>
        <w:pStyle w:val="Bibliography"/>
        <w:rPr>
          <w:rFonts w:ascii="Arial" w:hAnsi="Arial" w:cs="Arial"/>
        </w:rPr>
      </w:pPr>
      <w:r w:rsidRPr="003303A8">
        <w:rPr>
          <w:rFonts w:ascii="Arial" w:hAnsi="Arial" w:cs="Arial"/>
        </w:rPr>
        <w:t>69.</w:t>
      </w:r>
      <w:r w:rsidRPr="003303A8">
        <w:rPr>
          <w:rFonts w:ascii="Arial" w:hAnsi="Arial" w:cs="Arial"/>
        </w:rPr>
        <w:tab/>
      </w:r>
      <w:r w:rsidRPr="003303A8">
        <w:rPr>
          <w:rFonts w:ascii="Arial" w:hAnsi="Arial" w:cs="Arial"/>
        </w:rPr>
        <w:t xml:space="preserve">Baez S, Ibáñez A. Dementia in Latin America: An Emergent Silent Tsunami. </w:t>
      </w:r>
      <w:r w:rsidRPr="003303A8">
        <w:rPr>
          <w:rFonts w:ascii="Arial" w:hAnsi="Arial" w:cs="Arial"/>
          <w:i/>
          <w:iCs/>
        </w:rPr>
        <w:t>Front Aging Neurosci</w:t>
      </w:r>
      <w:r w:rsidRPr="003303A8">
        <w:rPr>
          <w:rFonts w:ascii="Arial" w:hAnsi="Arial" w:cs="Arial"/>
        </w:rPr>
        <w:t xml:space="preserve">. </w:t>
      </w:r>
      <w:proofErr w:type="gramStart"/>
      <w:r w:rsidRPr="003303A8">
        <w:rPr>
          <w:rFonts w:ascii="Arial" w:hAnsi="Arial" w:cs="Arial"/>
        </w:rPr>
        <w:t>2016;8:253</w:t>
      </w:r>
      <w:proofErr w:type="gramEnd"/>
      <w:r w:rsidRPr="003303A8">
        <w:rPr>
          <w:rFonts w:ascii="Arial" w:hAnsi="Arial" w:cs="Arial"/>
        </w:rPr>
        <w:t>. doi:10.3389/fnagi.2016.00253</w:t>
      </w:r>
    </w:p>
    <w:p w:rsidRPr="003303A8" w:rsidR="007B388C" w:rsidP="007B388C" w:rsidRDefault="007B388C" w14:paraId="20123C4A" w14:textId="77777777">
      <w:pPr>
        <w:pStyle w:val="Bibliography"/>
        <w:rPr>
          <w:rFonts w:ascii="Arial" w:hAnsi="Arial" w:cs="Arial"/>
        </w:rPr>
      </w:pPr>
      <w:r w:rsidRPr="003303A8">
        <w:rPr>
          <w:rFonts w:ascii="Arial" w:hAnsi="Arial" w:cs="Arial"/>
        </w:rPr>
        <w:t>70.</w:t>
      </w:r>
      <w:r w:rsidRPr="003303A8">
        <w:rPr>
          <w:rFonts w:ascii="Arial" w:hAnsi="Arial" w:cs="Arial"/>
        </w:rPr>
        <w:tab/>
      </w:r>
      <w:r w:rsidRPr="003303A8">
        <w:rPr>
          <w:rFonts w:ascii="Arial" w:hAnsi="Arial" w:cs="Arial"/>
        </w:rPr>
        <w:t xml:space="preserve">Teel CS. Rural practitioners’ experiences in dementia diagnosis and treatment. </w:t>
      </w:r>
      <w:r w:rsidRPr="003303A8">
        <w:rPr>
          <w:rFonts w:ascii="Arial" w:hAnsi="Arial" w:cs="Arial"/>
          <w:i/>
          <w:iCs/>
        </w:rPr>
        <w:t>Aging Ment Health</w:t>
      </w:r>
      <w:r w:rsidRPr="003303A8">
        <w:rPr>
          <w:rFonts w:ascii="Arial" w:hAnsi="Arial" w:cs="Arial"/>
        </w:rPr>
        <w:t>. 2004;8(5):422-429. doi:10.1080/13607860410001725018</w:t>
      </w:r>
    </w:p>
    <w:p w:rsidRPr="003303A8" w:rsidR="007B388C" w:rsidP="007B388C" w:rsidRDefault="007B388C" w14:paraId="769FB560" w14:textId="77777777">
      <w:pPr>
        <w:pStyle w:val="Bibliography"/>
        <w:rPr>
          <w:rFonts w:ascii="Arial" w:hAnsi="Arial" w:cs="Arial"/>
        </w:rPr>
      </w:pPr>
      <w:r w:rsidRPr="003303A8">
        <w:rPr>
          <w:rFonts w:ascii="Arial" w:hAnsi="Arial" w:cs="Arial"/>
        </w:rPr>
        <w:t>71.</w:t>
      </w:r>
      <w:r w:rsidRPr="003303A8">
        <w:rPr>
          <w:rFonts w:ascii="Arial" w:hAnsi="Arial" w:cs="Arial"/>
        </w:rPr>
        <w:tab/>
      </w:r>
      <w:r w:rsidRPr="003303A8">
        <w:rPr>
          <w:rFonts w:ascii="Arial" w:hAnsi="Arial" w:cs="Arial"/>
        </w:rPr>
        <w:t xml:space="preserve">Frank A, Ismail Z, Wilson M, et al. Health System Change for Alzheimer’s Disease-Modifying Therapies in Canada: Beginning the Discussion. </w:t>
      </w:r>
      <w:r w:rsidRPr="003303A8">
        <w:rPr>
          <w:rFonts w:ascii="Arial" w:hAnsi="Arial" w:cs="Arial"/>
          <w:i/>
          <w:iCs/>
        </w:rPr>
        <w:t>Can J Neurol Sci J Can Sci Neurol</w:t>
      </w:r>
      <w:r w:rsidRPr="003303A8">
        <w:rPr>
          <w:rFonts w:ascii="Arial" w:hAnsi="Arial" w:cs="Arial"/>
        </w:rPr>
        <w:t>. Published online December 6, 2023:1-9. doi:10.1017/cjn.2023.322</w:t>
      </w:r>
    </w:p>
    <w:p w:rsidRPr="003303A8" w:rsidR="007B388C" w:rsidP="007B388C" w:rsidRDefault="007B388C" w14:paraId="67FE238D" w14:textId="77777777">
      <w:pPr>
        <w:pStyle w:val="Bibliography"/>
        <w:rPr>
          <w:rFonts w:ascii="Arial" w:hAnsi="Arial" w:cs="Arial"/>
        </w:rPr>
      </w:pPr>
      <w:r w:rsidRPr="003303A8">
        <w:rPr>
          <w:rFonts w:ascii="Arial" w:hAnsi="Arial" w:cs="Arial"/>
        </w:rPr>
        <w:t>72.</w:t>
      </w:r>
      <w:r w:rsidRPr="003303A8">
        <w:rPr>
          <w:rFonts w:ascii="Arial" w:hAnsi="Arial" w:cs="Arial"/>
        </w:rPr>
        <w:tab/>
      </w:r>
      <w:r w:rsidRPr="003303A8">
        <w:rPr>
          <w:rFonts w:ascii="Arial" w:hAnsi="Arial" w:cs="Arial"/>
        </w:rPr>
        <w:t xml:space="preserve">Giezendanner S, Monsch AU, Kressig RW, et al. General practitioners’ attitudes towards early diagnosis of dementia: a cross-sectional survey. </w:t>
      </w:r>
      <w:r w:rsidRPr="003303A8">
        <w:rPr>
          <w:rFonts w:ascii="Arial" w:hAnsi="Arial" w:cs="Arial"/>
          <w:i/>
          <w:iCs/>
        </w:rPr>
        <w:t>BMC Fam Pract</w:t>
      </w:r>
      <w:r w:rsidRPr="003303A8">
        <w:rPr>
          <w:rFonts w:ascii="Arial" w:hAnsi="Arial" w:cs="Arial"/>
        </w:rPr>
        <w:t>. 2019;20(1):65. doi:10.1186/s12875-019-0956-1</w:t>
      </w:r>
    </w:p>
    <w:p w:rsidRPr="003303A8" w:rsidR="007B388C" w:rsidP="007B388C" w:rsidRDefault="007B388C" w14:paraId="1BA6C5D8" w14:textId="77777777">
      <w:pPr>
        <w:pStyle w:val="Bibliography"/>
        <w:rPr>
          <w:rFonts w:ascii="Arial" w:hAnsi="Arial" w:cs="Arial"/>
        </w:rPr>
      </w:pPr>
      <w:r w:rsidRPr="003303A8">
        <w:rPr>
          <w:rFonts w:ascii="Arial" w:hAnsi="Arial" w:cs="Arial"/>
        </w:rPr>
        <w:t>73.</w:t>
      </w:r>
      <w:r w:rsidRPr="003303A8">
        <w:rPr>
          <w:rFonts w:ascii="Arial" w:hAnsi="Arial" w:cs="Arial"/>
        </w:rPr>
        <w:tab/>
      </w:r>
      <w:r w:rsidRPr="003303A8">
        <w:rPr>
          <w:rFonts w:ascii="Arial" w:hAnsi="Arial" w:cs="Arial"/>
        </w:rPr>
        <w:t xml:space="preserve">Iliffe S, De Lepeleire J, Van Hout H, et al. Understanding obstacles to the recognition of and response to dementia in different European countries: a modified focus group approach using multinational, multi-disciplinary expert groups. </w:t>
      </w:r>
      <w:r w:rsidRPr="003303A8">
        <w:rPr>
          <w:rFonts w:ascii="Arial" w:hAnsi="Arial" w:cs="Arial"/>
          <w:i/>
          <w:iCs/>
        </w:rPr>
        <w:t>Aging Ment Health</w:t>
      </w:r>
      <w:r w:rsidRPr="003303A8">
        <w:rPr>
          <w:rFonts w:ascii="Arial" w:hAnsi="Arial" w:cs="Arial"/>
        </w:rPr>
        <w:t>. 2005;9(1):1-6. doi:10.1080/13607860412331323791</w:t>
      </w:r>
    </w:p>
    <w:p w:rsidRPr="003303A8" w:rsidR="007B388C" w:rsidP="007B388C" w:rsidRDefault="007B388C" w14:paraId="6800BF57" w14:textId="77777777">
      <w:pPr>
        <w:pStyle w:val="Bibliography"/>
        <w:rPr>
          <w:rFonts w:ascii="Arial" w:hAnsi="Arial" w:cs="Arial"/>
        </w:rPr>
      </w:pPr>
      <w:r w:rsidRPr="003303A8">
        <w:rPr>
          <w:rFonts w:ascii="Arial" w:hAnsi="Arial" w:cs="Arial"/>
        </w:rPr>
        <w:t>74.</w:t>
      </w:r>
      <w:r w:rsidRPr="003303A8">
        <w:rPr>
          <w:rFonts w:ascii="Arial" w:hAnsi="Arial" w:cs="Arial"/>
        </w:rPr>
        <w:tab/>
      </w:r>
      <w:r w:rsidRPr="003303A8">
        <w:rPr>
          <w:rFonts w:ascii="Arial" w:hAnsi="Arial" w:cs="Arial"/>
        </w:rPr>
        <w:t xml:space="preserve">Wong JA, Min DK, Kranick J, Ushasri H, Trinh-Shevrin C, Kwon SC. Exploring community knowledge, attitudes and perceptions of Alzheimer’s Disease/Alzheimer’s Disease-Related Dementias and healthy ageing in Asian American, Native Hawaiian and Pacific Islanders. </w:t>
      </w:r>
      <w:r w:rsidRPr="003303A8">
        <w:rPr>
          <w:rFonts w:ascii="Arial" w:hAnsi="Arial" w:cs="Arial"/>
          <w:i/>
          <w:iCs/>
        </w:rPr>
        <w:t>Health Soc Care Community</w:t>
      </w:r>
      <w:r w:rsidRPr="003303A8">
        <w:rPr>
          <w:rFonts w:ascii="Arial" w:hAnsi="Arial" w:cs="Arial"/>
        </w:rPr>
        <w:t>. 2022;30(6</w:t>
      </w:r>
      <w:proofErr w:type="gramStart"/>
      <w:r w:rsidRPr="003303A8">
        <w:rPr>
          <w:rFonts w:ascii="Arial" w:hAnsi="Arial" w:cs="Arial"/>
        </w:rPr>
        <w:t>):e</w:t>
      </w:r>
      <w:proofErr w:type="gramEnd"/>
      <w:r w:rsidRPr="003303A8">
        <w:rPr>
          <w:rFonts w:ascii="Arial" w:hAnsi="Arial" w:cs="Arial"/>
        </w:rPr>
        <w:t>5946-e5958. doi:10.1111/hsc.14025</w:t>
      </w:r>
    </w:p>
    <w:p w:rsidRPr="003303A8" w:rsidR="007B388C" w:rsidP="007B388C" w:rsidRDefault="007B388C" w14:paraId="7FB95E91" w14:textId="77777777">
      <w:pPr>
        <w:pStyle w:val="Bibliography"/>
        <w:rPr>
          <w:rFonts w:ascii="Arial" w:hAnsi="Arial" w:cs="Arial"/>
        </w:rPr>
      </w:pPr>
      <w:r w:rsidRPr="003303A8">
        <w:rPr>
          <w:rFonts w:ascii="Arial" w:hAnsi="Arial" w:cs="Arial"/>
        </w:rPr>
        <w:t>75.</w:t>
      </w:r>
      <w:r w:rsidRPr="003303A8">
        <w:rPr>
          <w:rFonts w:ascii="Arial" w:hAnsi="Arial" w:cs="Arial"/>
        </w:rPr>
        <w:tab/>
      </w:r>
      <w:r w:rsidRPr="003303A8">
        <w:rPr>
          <w:rFonts w:ascii="Arial" w:hAnsi="Arial" w:cs="Arial"/>
        </w:rPr>
        <w:t xml:space="preserve">Stephenson J. Racial barriers may hamper diagnosis, care of patients with Alzheimer disease. </w:t>
      </w:r>
      <w:r w:rsidRPr="003303A8">
        <w:rPr>
          <w:rFonts w:ascii="Arial" w:hAnsi="Arial" w:cs="Arial"/>
          <w:i/>
          <w:iCs/>
        </w:rPr>
        <w:t>JAMA</w:t>
      </w:r>
      <w:r w:rsidRPr="003303A8">
        <w:rPr>
          <w:rFonts w:ascii="Arial" w:hAnsi="Arial" w:cs="Arial"/>
        </w:rPr>
        <w:t>. 2001;286(7):779-780.</w:t>
      </w:r>
    </w:p>
    <w:p w:rsidRPr="003303A8" w:rsidR="007B388C" w:rsidP="007B388C" w:rsidRDefault="007B388C" w14:paraId="056DEB72" w14:textId="77777777">
      <w:pPr>
        <w:pStyle w:val="Bibliography"/>
        <w:rPr>
          <w:rFonts w:ascii="Arial" w:hAnsi="Arial" w:cs="Arial"/>
        </w:rPr>
      </w:pPr>
      <w:r w:rsidRPr="003303A8">
        <w:rPr>
          <w:rFonts w:ascii="Arial" w:hAnsi="Arial" w:cs="Arial"/>
        </w:rPr>
        <w:t>76.</w:t>
      </w:r>
      <w:r w:rsidRPr="003303A8">
        <w:rPr>
          <w:rFonts w:ascii="Arial" w:hAnsi="Arial" w:cs="Arial"/>
        </w:rPr>
        <w:tab/>
      </w:r>
      <w:r w:rsidRPr="003303A8">
        <w:rPr>
          <w:rFonts w:ascii="Arial" w:hAnsi="Arial" w:cs="Arial"/>
        </w:rPr>
        <w:t xml:space="preserve">Rodriguez MJ, Mendoza L, Garcia P, et al. Functional measures and AD biomarkers among Hispanic and White non-Hispanic older adults. </w:t>
      </w:r>
      <w:r w:rsidRPr="003303A8">
        <w:rPr>
          <w:rFonts w:ascii="Arial" w:hAnsi="Arial" w:cs="Arial"/>
          <w:i/>
          <w:iCs/>
        </w:rPr>
        <w:t>Alzheimers Dement Amst Neth</w:t>
      </w:r>
      <w:r w:rsidRPr="003303A8">
        <w:rPr>
          <w:rFonts w:ascii="Arial" w:hAnsi="Arial" w:cs="Arial"/>
        </w:rPr>
        <w:t>. 2024;16(3</w:t>
      </w:r>
      <w:proofErr w:type="gramStart"/>
      <w:r w:rsidRPr="003303A8">
        <w:rPr>
          <w:rFonts w:ascii="Arial" w:hAnsi="Arial" w:cs="Arial"/>
        </w:rPr>
        <w:t>):e</w:t>
      </w:r>
      <w:proofErr w:type="gramEnd"/>
      <w:r w:rsidRPr="003303A8">
        <w:rPr>
          <w:rFonts w:ascii="Arial" w:hAnsi="Arial" w:cs="Arial"/>
        </w:rPr>
        <w:t>12632. doi:10.1002/dad2.12632</w:t>
      </w:r>
    </w:p>
    <w:p w:rsidRPr="003303A8" w:rsidR="007B388C" w:rsidP="007B388C" w:rsidRDefault="007B388C" w14:paraId="64EE372C" w14:textId="77777777">
      <w:pPr>
        <w:pStyle w:val="Bibliography"/>
        <w:rPr>
          <w:rFonts w:ascii="Arial" w:hAnsi="Arial" w:cs="Arial"/>
        </w:rPr>
      </w:pPr>
      <w:r w:rsidRPr="003303A8">
        <w:rPr>
          <w:rFonts w:ascii="Arial" w:hAnsi="Arial" w:cs="Arial"/>
        </w:rPr>
        <w:t>77.</w:t>
      </w:r>
      <w:r w:rsidRPr="003303A8">
        <w:rPr>
          <w:rFonts w:ascii="Arial" w:hAnsi="Arial" w:cs="Arial"/>
        </w:rPr>
        <w:tab/>
      </w:r>
      <w:r w:rsidRPr="003303A8">
        <w:rPr>
          <w:rFonts w:ascii="Arial" w:hAnsi="Arial" w:cs="Arial"/>
        </w:rPr>
        <w:t xml:space="preserve">Ashton NJ, Brum WS, Di Molfetta G, et al. Diagnostic accuracy of the plasma ALZpath pTau217 immunoassay to identify Alzheimer’s disease pathology. </w:t>
      </w:r>
      <w:r w:rsidRPr="003303A8">
        <w:rPr>
          <w:rFonts w:ascii="Arial" w:hAnsi="Arial" w:cs="Arial"/>
          <w:i/>
          <w:iCs/>
        </w:rPr>
        <w:t>medRxiv</w:t>
      </w:r>
      <w:r w:rsidRPr="003303A8">
        <w:rPr>
          <w:rFonts w:ascii="Arial" w:hAnsi="Arial" w:cs="Arial"/>
        </w:rPr>
        <w:t>. Published online July 12, 2023:2023.07.11.23292493. doi:10.1101/2023.07.11.23292493</w:t>
      </w:r>
    </w:p>
    <w:p w:rsidRPr="003303A8" w:rsidR="007B388C" w:rsidP="007B388C" w:rsidRDefault="007B388C" w14:paraId="21C78D1F" w14:textId="77777777">
      <w:pPr>
        <w:pStyle w:val="Bibliography"/>
        <w:rPr>
          <w:rFonts w:ascii="Arial" w:hAnsi="Arial" w:cs="Arial"/>
        </w:rPr>
      </w:pPr>
      <w:r w:rsidRPr="003303A8">
        <w:rPr>
          <w:rFonts w:ascii="Arial" w:hAnsi="Arial" w:cs="Arial"/>
        </w:rPr>
        <w:t>78.</w:t>
      </w:r>
      <w:r w:rsidRPr="003303A8">
        <w:rPr>
          <w:rFonts w:ascii="Arial" w:hAnsi="Arial" w:cs="Arial"/>
        </w:rPr>
        <w:tab/>
      </w:r>
      <w:r w:rsidRPr="003303A8">
        <w:rPr>
          <w:rFonts w:ascii="Arial" w:hAnsi="Arial" w:cs="Arial"/>
        </w:rPr>
        <w:t xml:space="preserve">Ganguli M, Snitz BE, Lee CW, Vanderbilt J, Saxton JA, Chang CCH. Age and education effects and norms on a cognitive test battery from a population-based cohort: The Monongahela –Youghiogheny Healthy Aging Team (MYHAT). </w:t>
      </w:r>
      <w:r w:rsidRPr="003303A8">
        <w:rPr>
          <w:rFonts w:ascii="Arial" w:hAnsi="Arial" w:cs="Arial"/>
          <w:i/>
          <w:iCs/>
        </w:rPr>
        <w:t>Aging Ment Health</w:t>
      </w:r>
      <w:r w:rsidRPr="003303A8">
        <w:rPr>
          <w:rFonts w:ascii="Arial" w:hAnsi="Arial" w:cs="Arial"/>
        </w:rPr>
        <w:t>. 2010;14(1):100-107. doi:10.1080/13607860903071014</w:t>
      </w:r>
    </w:p>
    <w:p w:rsidRPr="003303A8" w:rsidR="007B388C" w:rsidP="007B388C" w:rsidRDefault="007B388C" w14:paraId="7F7D9495" w14:textId="77777777">
      <w:pPr>
        <w:pStyle w:val="Bibliography"/>
        <w:rPr>
          <w:rFonts w:ascii="Arial" w:hAnsi="Arial" w:cs="Arial"/>
        </w:rPr>
      </w:pPr>
      <w:r w:rsidRPr="003303A8">
        <w:rPr>
          <w:rFonts w:ascii="Arial" w:hAnsi="Arial" w:cs="Arial"/>
        </w:rPr>
        <w:t>79.</w:t>
      </w:r>
      <w:r w:rsidRPr="003303A8">
        <w:rPr>
          <w:rFonts w:ascii="Arial" w:hAnsi="Arial" w:cs="Arial"/>
        </w:rPr>
        <w:tab/>
      </w:r>
      <w:r w:rsidRPr="003303A8">
        <w:rPr>
          <w:rFonts w:ascii="Arial" w:hAnsi="Arial" w:cs="Arial"/>
        </w:rPr>
        <w:t xml:space="preserve">Weissberger GH, Gollan TH, Bondi MW, et al. Neuropsychological Deficit Profiles, Vascular Risk Factors, and Neuropathological Findings in Hispanic Older Adults with Autopsy-Confirmed Alzheimer’s Disease. </w:t>
      </w:r>
      <w:r w:rsidRPr="003303A8">
        <w:rPr>
          <w:rFonts w:ascii="Arial" w:hAnsi="Arial" w:cs="Arial"/>
          <w:i/>
          <w:iCs/>
        </w:rPr>
        <w:t>J Alzheimers Dis JAD</w:t>
      </w:r>
      <w:r w:rsidRPr="003303A8">
        <w:rPr>
          <w:rFonts w:ascii="Arial" w:hAnsi="Arial" w:cs="Arial"/>
        </w:rPr>
        <w:t>. 2019;67(1):291-302. doi:10.3233/JAD-180351</w:t>
      </w:r>
    </w:p>
    <w:p w:rsidRPr="003303A8" w:rsidR="007B388C" w:rsidP="007B388C" w:rsidRDefault="007B388C" w14:paraId="0FBA0C6C" w14:textId="77777777">
      <w:pPr>
        <w:pStyle w:val="Bibliography"/>
        <w:rPr>
          <w:rFonts w:ascii="Arial" w:hAnsi="Arial" w:cs="Arial"/>
        </w:rPr>
      </w:pPr>
      <w:r w:rsidRPr="003303A8">
        <w:rPr>
          <w:rFonts w:ascii="Arial" w:hAnsi="Arial" w:cs="Arial"/>
        </w:rPr>
        <w:t>80.</w:t>
      </w:r>
      <w:r w:rsidRPr="003303A8">
        <w:rPr>
          <w:rFonts w:ascii="Arial" w:hAnsi="Arial" w:cs="Arial"/>
        </w:rPr>
        <w:tab/>
      </w:r>
      <w:r w:rsidRPr="003303A8">
        <w:rPr>
          <w:rFonts w:ascii="Arial" w:hAnsi="Arial" w:cs="Arial"/>
        </w:rPr>
        <w:t xml:space="preserve">Veitch DP, Weiner MW, Miller M, et al. The Alzheimer’s Disease Neuroimaging Initiative in the era of Alzheimer’s disease treatment: A review of ADNI studies from 2021 to 2022. </w:t>
      </w:r>
      <w:r w:rsidRPr="003303A8">
        <w:rPr>
          <w:rFonts w:ascii="Arial" w:hAnsi="Arial" w:cs="Arial"/>
          <w:i/>
          <w:iCs/>
        </w:rPr>
        <w:t>Alzheimers Dement</w:t>
      </w:r>
      <w:r w:rsidRPr="003303A8">
        <w:rPr>
          <w:rFonts w:ascii="Arial" w:hAnsi="Arial" w:cs="Arial"/>
        </w:rPr>
        <w:t>. 2024;20(1):652-694. doi:10.1002/alz.13449</w:t>
      </w:r>
    </w:p>
    <w:p w:rsidRPr="003303A8" w:rsidR="007B388C" w:rsidP="007B388C" w:rsidRDefault="007B388C" w14:paraId="6F7B3B1C" w14:textId="77777777">
      <w:pPr>
        <w:pStyle w:val="Bibliography"/>
        <w:rPr>
          <w:rFonts w:ascii="Arial" w:hAnsi="Arial" w:cs="Arial"/>
        </w:rPr>
      </w:pPr>
      <w:r w:rsidRPr="003303A8">
        <w:rPr>
          <w:rFonts w:ascii="Arial" w:hAnsi="Arial" w:cs="Arial"/>
        </w:rPr>
        <w:t>81.</w:t>
      </w:r>
      <w:r w:rsidRPr="003303A8">
        <w:rPr>
          <w:rFonts w:ascii="Arial" w:hAnsi="Arial" w:cs="Arial"/>
        </w:rPr>
        <w:tab/>
      </w:r>
      <w:r w:rsidRPr="003303A8">
        <w:rPr>
          <w:rFonts w:ascii="Arial" w:hAnsi="Arial" w:cs="Arial"/>
        </w:rPr>
        <w:t xml:space="preserve">McKhann GM, Knopman DS, Chertkow H, et al. The diagnosis of dementia due to Alzheimer’s disease: recommendations from the National Institute on Aging-Alzheimer’s Association workgroups on diagnostic guidelines for Alzheimer’s disease. </w:t>
      </w:r>
      <w:r w:rsidRPr="003303A8">
        <w:rPr>
          <w:rFonts w:ascii="Arial" w:hAnsi="Arial" w:cs="Arial"/>
          <w:i/>
          <w:iCs/>
        </w:rPr>
        <w:t>Alzheimers Dement J Alzheimers Assoc</w:t>
      </w:r>
      <w:r w:rsidRPr="003303A8">
        <w:rPr>
          <w:rFonts w:ascii="Arial" w:hAnsi="Arial" w:cs="Arial"/>
        </w:rPr>
        <w:t xml:space="preserve">. 2011;7(3):263-269. </w:t>
      </w:r>
      <w:proofErr w:type="gramStart"/>
      <w:r w:rsidRPr="003303A8">
        <w:rPr>
          <w:rFonts w:ascii="Arial" w:hAnsi="Arial" w:cs="Arial"/>
        </w:rPr>
        <w:t>doi:10.1016/j.jalz</w:t>
      </w:r>
      <w:proofErr w:type="gramEnd"/>
      <w:r w:rsidRPr="003303A8">
        <w:rPr>
          <w:rFonts w:ascii="Arial" w:hAnsi="Arial" w:cs="Arial"/>
        </w:rPr>
        <w:t>.2011.03.005</w:t>
      </w:r>
    </w:p>
    <w:p w:rsidRPr="003303A8" w:rsidR="007B388C" w:rsidP="007B388C" w:rsidRDefault="007B388C" w14:paraId="6597A3FF" w14:textId="77777777">
      <w:pPr>
        <w:pStyle w:val="Bibliography"/>
        <w:rPr>
          <w:rFonts w:ascii="Arial" w:hAnsi="Arial" w:cs="Arial"/>
        </w:rPr>
      </w:pPr>
      <w:r w:rsidRPr="003303A8">
        <w:rPr>
          <w:rFonts w:ascii="Arial" w:hAnsi="Arial" w:cs="Arial"/>
        </w:rPr>
        <w:t>82.</w:t>
      </w:r>
      <w:r w:rsidRPr="003303A8">
        <w:rPr>
          <w:rFonts w:ascii="Arial" w:hAnsi="Arial" w:cs="Arial"/>
        </w:rPr>
        <w:tab/>
      </w:r>
      <w:r w:rsidRPr="003303A8">
        <w:rPr>
          <w:rFonts w:ascii="Arial" w:hAnsi="Arial" w:cs="Arial"/>
        </w:rPr>
        <w:t xml:space="preserve">Nguyen HD, Clément M, Mansencal B, Coupé P. Towards better interpretable and generalizable AD detection using collective artificial intelligence. </w:t>
      </w:r>
      <w:r w:rsidRPr="003303A8">
        <w:rPr>
          <w:rFonts w:ascii="Arial" w:hAnsi="Arial" w:cs="Arial"/>
          <w:i/>
          <w:iCs/>
        </w:rPr>
        <w:t>Comput Med Imaging Graph</w:t>
      </w:r>
      <w:r w:rsidRPr="003303A8">
        <w:rPr>
          <w:rFonts w:ascii="Arial" w:hAnsi="Arial" w:cs="Arial"/>
        </w:rPr>
        <w:t xml:space="preserve">. </w:t>
      </w:r>
      <w:proofErr w:type="gramStart"/>
      <w:r w:rsidRPr="003303A8">
        <w:rPr>
          <w:rFonts w:ascii="Arial" w:hAnsi="Arial" w:cs="Arial"/>
        </w:rPr>
        <w:t>2023;104:102171</w:t>
      </w:r>
      <w:proofErr w:type="gramEnd"/>
      <w:r w:rsidRPr="003303A8">
        <w:rPr>
          <w:rFonts w:ascii="Arial" w:hAnsi="Arial" w:cs="Arial"/>
        </w:rPr>
        <w:t xml:space="preserve">. </w:t>
      </w:r>
      <w:proofErr w:type="gramStart"/>
      <w:r w:rsidRPr="003303A8">
        <w:rPr>
          <w:rFonts w:ascii="Arial" w:hAnsi="Arial" w:cs="Arial"/>
        </w:rPr>
        <w:t>doi:10.1016/j.compmedimag</w:t>
      </w:r>
      <w:proofErr w:type="gramEnd"/>
      <w:r w:rsidRPr="003303A8">
        <w:rPr>
          <w:rFonts w:ascii="Arial" w:hAnsi="Arial" w:cs="Arial"/>
        </w:rPr>
        <w:t>.2022.102171</w:t>
      </w:r>
    </w:p>
    <w:p w:rsidRPr="003303A8" w:rsidR="007B388C" w:rsidP="007B388C" w:rsidRDefault="007B388C" w14:paraId="057B4D2D" w14:textId="77777777">
      <w:pPr>
        <w:pStyle w:val="Bibliography"/>
        <w:rPr>
          <w:rFonts w:ascii="Arial" w:hAnsi="Arial" w:cs="Arial"/>
        </w:rPr>
      </w:pPr>
      <w:r w:rsidRPr="003303A8">
        <w:rPr>
          <w:rFonts w:ascii="Arial" w:hAnsi="Arial" w:cs="Arial"/>
        </w:rPr>
        <w:t>83.</w:t>
      </w:r>
      <w:r w:rsidRPr="003303A8">
        <w:rPr>
          <w:rFonts w:ascii="Arial" w:hAnsi="Arial" w:cs="Arial"/>
        </w:rPr>
        <w:tab/>
      </w:r>
      <w:r w:rsidRPr="003303A8">
        <w:rPr>
          <w:rFonts w:ascii="Arial" w:hAnsi="Arial" w:cs="Arial"/>
        </w:rPr>
        <w:t xml:space="preserve">Parikh PB, Yang J, Leigh S, et al. The Impact of Financial Barriers on Access to Care, Quality of Care and Vascular Morbidity Among Patients with Diabetes and Coronary Heart Disease. </w:t>
      </w:r>
      <w:r w:rsidRPr="003303A8">
        <w:rPr>
          <w:rFonts w:ascii="Arial" w:hAnsi="Arial" w:cs="Arial"/>
          <w:i/>
          <w:iCs/>
        </w:rPr>
        <w:t>J Gen Intern Med</w:t>
      </w:r>
      <w:r w:rsidRPr="003303A8">
        <w:rPr>
          <w:rFonts w:ascii="Arial" w:hAnsi="Arial" w:cs="Arial"/>
        </w:rPr>
        <w:t>. 2014;29(1):76-81. doi:10.1007/s11606-013-2635-6</w:t>
      </w:r>
    </w:p>
    <w:p w:rsidRPr="003303A8" w:rsidR="007B388C" w:rsidP="007B388C" w:rsidRDefault="007B388C" w14:paraId="664C5B29" w14:textId="77777777">
      <w:pPr>
        <w:pStyle w:val="Bibliography"/>
        <w:rPr>
          <w:rFonts w:ascii="Arial" w:hAnsi="Arial" w:cs="Arial"/>
        </w:rPr>
      </w:pPr>
      <w:r w:rsidRPr="003303A8">
        <w:rPr>
          <w:rFonts w:ascii="Arial" w:hAnsi="Arial" w:cs="Arial"/>
        </w:rPr>
        <w:t>84.</w:t>
      </w:r>
      <w:r w:rsidRPr="003303A8">
        <w:rPr>
          <w:rFonts w:ascii="Arial" w:hAnsi="Arial" w:cs="Arial"/>
        </w:rPr>
        <w:tab/>
      </w:r>
      <w:r w:rsidRPr="003303A8">
        <w:rPr>
          <w:rFonts w:ascii="Arial" w:hAnsi="Arial" w:cs="Arial"/>
        </w:rPr>
        <w:t>Canadians turn to PET scans for health picture. Investment Executive. July 10, 2006. Accessed March 7, 2025. https://www.investmentexecutive.com/newspaper_/building-your-business-newspaper/news-34691/</w:t>
      </w:r>
    </w:p>
    <w:p w:rsidRPr="003303A8" w:rsidR="007B388C" w:rsidP="007B388C" w:rsidRDefault="007B388C" w14:paraId="1A522D5B" w14:textId="77777777">
      <w:pPr>
        <w:pStyle w:val="Bibliography"/>
        <w:rPr>
          <w:rFonts w:ascii="Arial" w:hAnsi="Arial" w:cs="Arial"/>
        </w:rPr>
      </w:pPr>
      <w:r w:rsidRPr="003303A8">
        <w:rPr>
          <w:rFonts w:ascii="Arial" w:hAnsi="Arial" w:cs="Arial"/>
        </w:rPr>
        <w:t>85.</w:t>
      </w:r>
      <w:r w:rsidRPr="003303A8">
        <w:rPr>
          <w:rFonts w:ascii="Arial" w:hAnsi="Arial" w:cs="Arial"/>
        </w:rPr>
        <w:tab/>
      </w:r>
      <w:r w:rsidRPr="003303A8">
        <w:rPr>
          <w:rFonts w:ascii="Arial" w:hAnsi="Arial" w:cs="Arial"/>
        </w:rPr>
        <w:t xml:space="preserve">Kerwin D, Abdelnour C, Caramelli P, et al. Alzheimer’s disease diagnosis and management: Perspectives from around the world. </w:t>
      </w:r>
      <w:r w:rsidRPr="003303A8">
        <w:rPr>
          <w:rFonts w:ascii="Arial" w:hAnsi="Arial" w:cs="Arial"/>
          <w:i/>
          <w:iCs/>
        </w:rPr>
        <w:t>Alzheimers Dement Diagn Assess Dis Monit</w:t>
      </w:r>
      <w:r w:rsidRPr="003303A8">
        <w:rPr>
          <w:rFonts w:ascii="Arial" w:hAnsi="Arial" w:cs="Arial"/>
        </w:rPr>
        <w:t>. 2022;14(1</w:t>
      </w:r>
      <w:proofErr w:type="gramStart"/>
      <w:r w:rsidRPr="003303A8">
        <w:rPr>
          <w:rFonts w:ascii="Arial" w:hAnsi="Arial" w:cs="Arial"/>
        </w:rPr>
        <w:t>):e</w:t>
      </w:r>
      <w:proofErr w:type="gramEnd"/>
      <w:r w:rsidRPr="003303A8">
        <w:rPr>
          <w:rFonts w:ascii="Arial" w:hAnsi="Arial" w:cs="Arial"/>
        </w:rPr>
        <w:t>12334. doi:10.1002/dad2.12334</w:t>
      </w:r>
    </w:p>
    <w:p w:rsidRPr="003303A8" w:rsidR="007B388C" w:rsidP="007B388C" w:rsidRDefault="007B388C" w14:paraId="5DA2C064" w14:textId="77777777">
      <w:pPr>
        <w:pStyle w:val="Bibliography"/>
        <w:rPr>
          <w:rFonts w:ascii="Arial" w:hAnsi="Arial" w:cs="Arial"/>
        </w:rPr>
      </w:pPr>
      <w:r w:rsidRPr="003303A8">
        <w:rPr>
          <w:rFonts w:ascii="Arial" w:hAnsi="Arial" w:cs="Arial"/>
        </w:rPr>
        <w:t>86.</w:t>
      </w:r>
      <w:r w:rsidRPr="003303A8">
        <w:rPr>
          <w:rFonts w:ascii="Arial" w:hAnsi="Arial" w:cs="Arial"/>
        </w:rPr>
        <w:tab/>
      </w:r>
      <w:r w:rsidRPr="003303A8">
        <w:rPr>
          <w:rFonts w:ascii="Arial" w:hAnsi="Arial" w:cs="Arial"/>
        </w:rPr>
        <w:t>International AD, University M. World Alzheimer Report 2021: Journey through the diagnosis of dementia. Published online September 21, 2021. Accessed March 24, 2025. https://www.alzint.org/resource/world-alzheimer-report-2021/</w:t>
      </w:r>
    </w:p>
    <w:p w:rsidRPr="003303A8" w:rsidR="007B388C" w:rsidP="007B388C" w:rsidRDefault="007B388C" w14:paraId="47BBAF58" w14:textId="77777777">
      <w:pPr>
        <w:pStyle w:val="Bibliography"/>
        <w:rPr>
          <w:rFonts w:ascii="Arial" w:hAnsi="Arial" w:cs="Arial"/>
        </w:rPr>
      </w:pPr>
      <w:r w:rsidRPr="003303A8">
        <w:rPr>
          <w:rFonts w:ascii="Arial" w:hAnsi="Arial" w:cs="Arial"/>
        </w:rPr>
        <w:t>87.</w:t>
      </w:r>
      <w:r w:rsidRPr="003303A8">
        <w:rPr>
          <w:rFonts w:ascii="Arial" w:hAnsi="Arial" w:cs="Arial"/>
        </w:rPr>
        <w:tab/>
      </w:r>
      <w:r w:rsidRPr="003303A8">
        <w:rPr>
          <w:rFonts w:ascii="Arial" w:hAnsi="Arial" w:cs="Arial"/>
        </w:rPr>
        <w:t xml:space="preserve">Alzheimer’s Society. </w:t>
      </w:r>
      <w:r w:rsidRPr="003303A8">
        <w:rPr>
          <w:rFonts w:ascii="Arial" w:hAnsi="Arial" w:cs="Arial"/>
          <w:i/>
          <w:iCs/>
        </w:rPr>
        <w:t>Modelling the Impacts of Early Diagnosis of Dementia in the UK</w:t>
      </w:r>
      <w:r w:rsidRPr="003303A8">
        <w:rPr>
          <w:rFonts w:ascii="Arial" w:hAnsi="Arial" w:cs="Arial"/>
        </w:rPr>
        <w:t>.; 2024. https://www.alzheimers.org.uk/sites/default/files/2024-09/Modelling-impacts-early-diagnosis.pdf</w:t>
      </w:r>
    </w:p>
    <w:p w:rsidRPr="003303A8" w:rsidR="007B388C" w:rsidP="007B388C" w:rsidRDefault="007B388C" w14:paraId="064295D8" w14:textId="77777777">
      <w:pPr>
        <w:pStyle w:val="Bibliography"/>
        <w:rPr>
          <w:rFonts w:ascii="Arial" w:hAnsi="Arial" w:cs="Arial"/>
        </w:rPr>
      </w:pPr>
      <w:r w:rsidRPr="003303A8">
        <w:rPr>
          <w:rFonts w:ascii="Arial" w:hAnsi="Arial" w:cs="Arial"/>
        </w:rPr>
        <w:t>88.</w:t>
      </w:r>
      <w:r w:rsidRPr="003303A8">
        <w:rPr>
          <w:rFonts w:ascii="Arial" w:hAnsi="Arial" w:cs="Arial"/>
        </w:rPr>
        <w:tab/>
      </w:r>
      <w:r w:rsidRPr="003303A8">
        <w:rPr>
          <w:rFonts w:ascii="Arial" w:hAnsi="Arial" w:cs="Arial"/>
        </w:rPr>
        <w:t xml:space="preserve">Frech FH, Li G, Juday T, et al. Economic Impact of Progression from Mild Cognitive Impairment to Alzheimer Disease in the United States. </w:t>
      </w:r>
      <w:r w:rsidRPr="003303A8">
        <w:rPr>
          <w:rFonts w:ascii="Arial" w:hAnsi="Arial" w:cs="Arial"/>
          <w:i/>
          <w:iCs/>
        </w:rPr>
        <w:t>J Prev Alzheimers Dis</w:t>
      </w:r>
      <w:r w:rsidRPr="003303A8">
        <w:rPr>
          <w:rFonts w:ascii="Arial" w:hAnsi="Arial" w:cs="Arial"/>
        </w:rPr>
        <w:t>. 2024;11(4):983-991. doi:10.14283/jpad.2024.68</w:t>
      </w:r>
    </w:p>
    <w:p w:rsidRPr="003303A8" w:rsidR="007B388C" w:rsidP="007B388C" w:rsidRDefault="007B388C" w14:paraId="437B2EE6" w14:textId="77777777">
      <w:pPr>
        <w:pStyle w:val="Bibliography"/>
        <w:rPr>
          <w:rFonts w:ascii="Arial" w:hAnsi="Arial" w:cs="Arial"/>
        </w:rPr>
      </w:pPr>
      <w:r w:rsidRPr="003303A8">
        <w:rPr>
          <w:rFonts w:ascii="Arial" w:hAnsi="Arial" w:cs="Arial"/>
        </w:rPr>
        <w:t>89.</w:t>
      </w:r>
      <w:r w:rsidRPr="003303A8">
        <w:rPr>
          <w:rFonts w:ascii="Arial" w:hAnsi="Arial" w:cs="Arial"/>
        </w:rPr>
        <w:tab/>
      </w:r>
      <w:r w:rsidRPr="003303A8">
        <w:rPr>
          <w:rFonts w:ascii="Arial" w:hAnsi="Arial" w:cs="Arial"/>
        </w:rPr>
        <w:t xml:space="preserve">Fox J, Mearns ES, Li J, et al. Indirect Costs of Alzheimer’s Disease: Unpaid Caregiver Burden and Patient Productivity Loss. </w:t>
      </w:r>
      <w:r w:rsidRPr="003303A8">
        <w:rPr>
          <w:rFonts w:ascii="Arial" w:hAnsi="Arial" w:cs="Arial"/>
          <w:i/>
          <w:iCs/>
        </w:rPr>
        <w:t>Value Health</w:t>
      </w:r>
      <w:r w:rsidRPr="003303A8">
        <w:rPr>
          <w:rFonts w:ascii="Arial" w:hAnsi="Arial" w:cs="Arial"/>
        </w:rPr>
        <w:t xml:space="preserve">. Published online November 19, 2024. </w:t>
      </w:r>
      <w:proofErr w:type="gramStart"/>
      <w:r w:rsidRPr="003303A8">
        <w:rPr>
          <w:rFonts w:ascii="Arial" w:hAnsi="Arial" w:cs="Arial"/>
        </w:rPr>
        <w:t>doi:10.1016/j.jval</w:t>
      </w:r>
      <w:proofErr w:type="gramEnd"/>
      <w:r w:rsidRPr="003303A8">
        <w:rPr>
          <w:rFonts w:ascii="Arial" w:hAnsi="Arial" w:cs="Arial"/>
        </w:rPr>
        <w:t>.2024.10.3851</w:t>
      </w:r>
    </w:p>
    <w:p w:rsidRPr="003303A8" w:rsidR="007B388C" w:rsidP="007B388C" w:rsidRDefault="007B388C" w14:paraId="67C30691" w14:textId="77777777">
      <w:pPr>
        <w:pStyle w:val="Bibliography"/>
        <w:rPr>
          <w:rFonts w:ascii="Arial" w:hAnsi="Arial" w:cs="Arial"/>
        </w:rPr>
      </w:pPr>
      <w:r w:rsidRPr="003303A8">
        <w:rPr>
          <w:rFonts w:ascii="Arial" w:hAnsi="Arial" w:cs="Arial"/>
        </w:rPr>
        <w:t>90.</w:t>
      </w:r>
      <w:r w:rsidRPr="003303A8">
        <w:rPr>
          <w:rFonts w:ascii="Arial" w:hAnsi="Arial" w:cs="Arial"/>
        </w:rPr>
        <w:tab/>
      </w:r>
      <w:r w:rsidRPr="003303A8">
        <w:rPr>
          <w:rFonts w:ascii="Arial" w:hAnsi="Arial" w:cs="Arial"/>
        </w:rPr>
        <w:t xml:space="preserve">Mattke S, Shi Z, Hanson M, et al. Estimated Investment Need to Increase England’s Capacity to Diagnose Eligibility for an Alzheimer’s Treatment to G7 Average Capacity Levels. </w:t>
      </w:r>
      <w:r w:rsidRPr="003303A8">
        <w:rPr>
          <w:rFonts w:ascii="Arial" w:hAnsi="Arial" w:cs="Arial"/>
          <w:i/>
          <w:iCs/>
        </w:rPr>
        <w:t>J Prev Alzheimers Dis</w:t>
      </w:r>
      <w:r w:rsidRPr="003303A8">
        <w:rPr>
          <w:rFonts w:ascii="Arial" w:hAnsi="Arial" w:cs="Arial"/>
        </w:rPr>
        <w:t>. 2024;11(4):1022-1029. doi:10.14283/jpad.2024.24</w:t>
      </w:r>
    </w:p>
    <w:p w:rsidRPr="003303A8" w:rsidR="007B388C" w:rsidP="007B388C" w:rsidRDefault="007B388C" w14:paraId="3FDFE0C9" w14:textId="77777777">
      <w:pPr>
        <w:pStyle w:val="Bibliography"/>
        <w:rPr>
          <w:rFonts w:ascii="Arial" w:hAnsi="Arial" w:cs="Arial"/>
        </w:rPr>
      </w:pPr>
      <w:r w:rsidRPr="003303A8">
        <w:rPr>
          <w:rFonts w:ascii="Arial" w:hAnsi="Arial" w:cs="Arial"/>
        </w:rPr>
        <w:t>91.</w:t>
      </w:r>
      <w:r w:rsidRPr="003303A8">
        <w:rPr>
          <w:rFonts w:ascii="Arial" w:hAnsi="Arial" w:cs="Arial"/>
        </w:rPr>
        <w:tab/>
      </w:r>
      <w:r w:rsidRPr="003303A8">
        <w:rPr>
          <w:rFonts w:ascii="Arial" w:hAnsi="Arial" w:cs="Arial"/>
        </w:rPr>
        <w:t xml:space="preserve">Sabbagh MN, Boada M, Borson S, et al. Rationale for Early Diagnosis of Mild Cognitive Impairment (MCI) supported by Emerging Digital Technologies. </w:t>
      </w:r>
      <w:r w:rsidRPr="003303A8">
        <w:rPr>
          <w:rFonts w:ascii="Arial" w:hAnsi="Arial" w:cs="Arial"/>
          <w:i/>
          <w:iCs/>
        </w:rPr>
        <w:t>J Prev Alzheimers Dis</w:t>
      </w:r>
      <w:r w:rsidRPr="003303A8">
        <w:rPr>
          <w:rFonts w:ascii="Arial" w:hAnsi="Arial" w:cs="Arial"/>
        </w:rPr>
        <w:t>. 2020;7(3):158-164. doi:10.14283/jpad.2020.19</w:t>
      </w:r>
    </w:p>
    <w:p w:rsidRPr="003303A8" w:rsidR="007B388C" w:rsidP="007B388C" w:rsidRDefault="007B388C" w14:paraId="0ABF5F62" w14:textId="77777777">
      <w:pPr>
        <w:pStyle w:val="Bibliography"/>
        <w:rPr>
          <w:rFonts w:ascii="Arial" w:hAnsi="Arial" w:cs="Arial"/>
        </w:rPr>
      </w:pPr>
      <w:r w:rsidRPr="003303A8">
        <w:rPr>
          <w:rFonts w:ascii="Arial" w:hAnsi="Arial" w:cs="Arial"/>
        </w:rPr>
        <w:t>92.</w:t>
      </w:r>
      <w:r w:rsidRPr="003303A8">
        <w:rPr>
          <w:rFonts w:ascii="Arial" w:hAnsi="Arial" w:cs="Arial"/>
        </w:rPr>
        <w:tab/>
      </w:r>
      <w:r w:rsidRPr="003303A8">
        <w:rPr>
          <w:rFonts w:ascii="Arial" w:hAnsi="Arial" w:cs="Arial"/>
        </w:rPr>
        <w:t xml:space="preserve">Tong T, Thokala P, McMillan B, Ghosh R, Brazier J. Cost effectiveness of using cognitive screening tests for detecting dementia and mild cognitive impairment in primary care. </w:t>
      </w:r>
      <w:r w:rsidRPr="003303A8">
        <w:rPr>
          <w:rFonts w:ascii="Arial" w:hAnsi="Arial" w:cs="Arial"/>
          <w:i/>
          <w:iCs/>
        </w:rPr>
        <w:t>Int J Geriatr Psychiatry</w:t>
      </w:r>
      <w:r w:rsidRPr="003303A8">
        <w:rPr>
          <w:rFonts w:ascii="Arial" w:hAnsi="Arial" w:cs="Arial"/>
        </w:rPr>
        <w:t>. 2017;32(12):1392-1400. doi:10.1002/gps.4626</w:t>
      </w:r>
    </w:p>
    <w:p w:rsidRPr="003303A8" w:rsidR="007B388C" w:rsidP="007B388C" w:rsidRDefault="007B388C" w14:paraId="6ABAD657" w14:textId="77777777">
      <w:pPr>
        <w:pStyle w:val="Bibliography"/>
        <w:rPr>
          <w:rFonts w:ascii="Arial" w:hAnsi="Arial" w:cs="Arial"/>
        </w:rPr>
      </w:pPr>
      <w:r w:rsidRPr="003303A8">
        <w:rPr>
          <w:rFonts w:ascii="Arial" w:hAnsi="Arial" w:cs="Arial"/>
        </w:rPr>
        <w:t>93.</w:t>
      </w:r>
      <w:r w:rsidRPr="003303A8">
        <w:rPr>
          <w:rFonts w:ascii="Arial" w:hAnsi="Arial" w:cs="Arial"/>
        </w:rPr>
        <w:tab/>
      </w:r>
      <w:r w:rsidRPr="003303A8">
        <w:rPr>
          <w:rFonts w:ascii="Arial" w:hAnsi="Arial" w:cs="Arial"/>
        </w:rPr>
        <w:t xml:space="preserve">Baez S, Ibáñez A. Dementia in Latin America: An Emergent Silent Tsunami. </w:t>
      </w:r>
      <w:r w:rsidRPr="003303A8">
        <w:rPr>
          <w:rFonts w:ascii="Arial" w:hAnsi="Arial" w:cs="Arial"/>
          <w:i/>
          <w:iCs/>
        </w:rPr>
        <w:t>Front Aging Neurosci</w:t>
      </w:r>
      <w:r w:rsidRPr="003303A8">
        <w:rPr>
          <w:rFonts w:ascii="Arial" w:hAnsi="Arial" w:cs="Arial"/>
        </w:rPr>
        <w:t xml:space="preserve">. </w:t>
      </w:r>
      <w:proofErr w:type="gramStart"/>
      <w:r w:rsidRPr="003303A8">
        <w:rPr>
          <w:rFonts w:ascii="Arial" w:hAnsi="Arial" w:cs="Arial"/>
        </w:rPr>
        <w:t>2016;8:253</w:t>
      </w:r>
      <w:proofErr w:type="gramEnd"/>
      <w:r w:rsidRPr="003303A8">
        <w:rPr>
          <w:rFonts w:ascii="Arial" w:hAnsi="Arial" w:cs="Arial"/>
        </w:rPr>
        <w:t>. doi:10.3389/fnagi.2016.00253</w:t>
      </w:r>
    </w:p>
    <w:p w:rsidRPr="003303A8" w:rsidR="007B388C" w:rsidP="007B388C" w:rsidRDefault="007B388C" w14:paraId="1CBDBA19" w14:textId="77777777">
      <w:pPr>
        <w:pStyle w:val="Bibliography"/>
        <w:rPr>
          <w:rFonts w:ascii="Arial" w:hAnsi="Arial" w:cs="Arial"/>
        </w:rPr>
      </w:pPr>
      <w:r w:rsidRPr="003303A8">
        <w:rPr>
          <w:rFonts w:ascii="Arial" w:hAnsi="Arial" w:cs="Arial"/>
        </w:rPr>
        <w:t>94.</w:t>
      </w:r>
      <w:r w:rsidRPr="003303A8">
        <w:rPr>
          <w:rFonts w:ascii="Arial" w:hAnsi="Arial" w:cs="Arial"/>
        </w:rPr>
        <w:tab/>
      </w:r>
      <w:r w:rsidRPr="003303A8">
        <w:rPr>
          <w:rFonts w:ascii="Arial" w:hAnsi="Arial" w:cs="Arial"/>
        </w:rPr>
        <w:t xml:space="preserve">O’Caoimh R. Informant-Administered Cognitive Screening as a Component of Memory Clinic Assessment: Overcoming Ethical and Practical Challenges. </w:t>
      </w:r>
      <w:r w:rsidRPr="003303A8">
        <w:rPr>
          <w:rFonts w:ascii="Arial" w:hAnsi="Arial" w:cs="Arial"/>
          <w:i/>
          <w:iCs/>
        </w:rPr>
        <w:t>J Alzheimer’s Dis</w:t>
      </w:r>
      <w:r w:rsidRPr="003303A8">
        <w:rPr>
          <w:rFonts w:ascii="Arial" w:hAnsi="Arial" w:cs="Arial"/>
        </w:rPr>
        <w:t>. 2022;90(4):1433-1436. doi:10.3233/JAD-220989</w:t>
      </w:r>
    </w:p>
    <w:p w:rsidRPr="003303A8" w:rsidR="007B388C" w:rsidP="007B388C" w:rsidRDefault="007B388C" w14:paraId="3599198A" w14:textId="77777777">
      <w:pPr>
        <w:pStyle w:val="Bibliography"/>
        <w:rPr>
          <w:rFonts w:ascii="Arial" w:hAnsi="Arial" w:cs="Arial"/>
        </w:rPr>
      </w:pPr>
      <w:r w:rsidRPr="003303A8">
        <w:rPr>
          <w:rFonts w:ascii="Arial" w:hAnsi="Arial" w:cs="Arial"/>
        </w:rPr>
        <w:t>95.</w:t>
      </w:r>
      <w:r w:rsidRPr="003303A8">
        <w:rPr>
          <w:rFonts w:ascii="Arial" w:hAnsi="Arial" w:cs="Arial"/>
        </w:rPr>
        <w:tab/>
      </w:r>
      <w:r w:rsidRPr="003303A8">
        <w:rPr>
          <w:rFonts w:ascii="Arial" w:hAnsi="Arial" w:cs="Arial"/>
        </w:rPr>
        <w:t>Wong JA, Min DK, Kranick J, Ushasri H, Trinh</w:t>
      </w:r>
      <w:r w:rsidRPr="003303A8">
        <w:rPr>
          <w:rFonts w:ascii="Cambria Math" w:hAnsi="Cambria Math" w:cs="Cambria Math"/>
        </w:rPr>
        <w:t>‐</w:t>
      </w:r>
      <w:r w:rsidRPr="003303A8">
        <w:rPr>
          <w:rFonts w:ascii="Arial" w:hAnsi="Arial" w:cs="Arial"/>
        </w:rPr>
        <w:t>Shevrin C, Kwon SC. Exploring community knowledge, attitudes and perceptions of Alzheimer’s Disease/Alzheimer’s Disease</w:t>
      </w:r>
      <w:r w:rsidRPr="003303A8">
        <w:rPr>
          <w:rFonts w:ascii="Cambria Math" w:hAnsi="Cambria Math" w:cs="Cambria Math"/>
        </w:rPr>
        <w:t>‐</w:t>
      </w:r>
      <w:r w:rsidRPr="003303A8">
        <w:rPr>
          <w:rFonts w:ascii="Arial" w:hAnsi="Arial" w:cs="Arial"/>
        </w:rPr>
        <w:t xml:space="preserve">Related Dementias and healthy ageing in Asian American, Native Hawaiian and Pacific Islanders. </w:t>
      </w:r>
      <w:r w:rsidRPr="003303A8">
        <w:rPr>
          <w:rFonts w:ascii="Arial" w:hAnsi="Arial" w:cs="Arial"/>
          <w:i/>
          <w:iCs/>
        </w:rPr>
        <w:t>Health Soc Care Community</w:t>
      </w:r>
      <w:r w:rsidRPr="003303A8">
        <w:rPr>
          <w:rFonts w:ascii="Arial" w:hAnsi="Arial" w:cs="Arial"/>
        </w:rPr>
        <w:t>. 2022;30(6</w:t>
      </w:r>
      <w:proofErr w:type="gramStart"/>
      <w:r w:rsidRPr="003303A8">
        <w:rPr>
          <w:rFonts w:ascii="Arial" w:hAnsi="Arial" w:cs="Arial"/>
        </w:rPr>
        <w:t>):e</w:t>
      </w:r>
      <w:proofErr w:type="gramEnd"/>
      <w:r w:rsidRPr="003303A8">
        <w:rPr>
          <w:rFonts w:ascii="Arial" w:hAnsi="Arial" w:cs="Arial"/>
        </w:rPr>
        <w:t>5946-e5958. doi:10.1111/hsc.14025</w:t>
      </w:r>
    </w:p>
    <w:p w:rsidRPr="003303A8" w:rsidR="007B388C" w:rsidP="007B388C" w:rsidRDefault="007B388C" w14:paraId="4D758F69" w14:textId="77777777">
      <w:pPr>
        <w:pStyle w:val="Bibliography"/>
        <w:rPr>
          <w:rFonts w:ascii="Arial" w:hAnsi="Arial" w:cs="Arial"/>
        </w:rPr>
      </w:pPr>
      <w:r w:rsidRPr="003303A8">
        <w:rPr>
          <w:rFonts w:ascii="Arial" w:hAnsi="Arial" w:cs="Arial"/>
        </w:rPr>
        <w:t>96.</w:t>
      </w:r>
      <w:r w:rsidRPr="003303A8">
        <w:rPr>
          <w:rFonts w:ascii="Arial" w:hAnsi="Arial" w:cs="Arial"/>
        </w:rPr>
        <w:tab/>
      </w:r>
      <w:r w:rsidRPr="003303A8">
        <w:rPr>
          <w:rFonts w:ascii="Arial" w:hAnsi="Arial" w:cs="Arial"/>
        </w:rPr>
        <w:t>Introducing Creyos’ Dementia Screen &amp; Cognitive Care Plan. Accessed March 16, 2025. https://creyos.com/blog/cognitive-screen</w:t>
      </w:r>
    </w:p>
    <w:p w:rsidRPr="003303A8" w:rsidR="007B388C" w:rsidP="007B388C" w:rsidRDefault="007B388C" w14:paraId="320B858A" w14:textId="77777777">
      <w:pPr>
        <w:pStyle w:val="Bibliography"/>
        <w:rPr>
          <w:rFonts w:ascii="Arial" w:hAnsi="Arial" w:cs="Arial"/>
        </w:rPr>
      </w:pPr>
      <w:r w:rsidRPr="003303A8">
        <w:rPr>
          <w:rFonts w:ascii="Arial" w:hAnsi="Arial" w:cs="Arial"/>
        </w:rPr>
        <w:t>97.</w:t>
      </w:r>
      <w:r w:rsidRPr="003303A8">
        <w:rPr>
          <w:rFonts w:ascii="Arial" w:hAnsi="Arial" w:cs="Arial"/>
        </w:rPr>
        <w:tab/>
      </w:r>
      <w:r w:rsidRPr="003303A8">
        <w:rPr>
          <w:rFonts w:ascii="Arial" w:hAnsi="Arial" w:cs="Arial"/>
        </w:rPr>
        <w:t xml:space="preserve">Bertram L, Tanzi RE. Chapter 3 - The Genetics of Alzheimer’s Disease. In: Teplow DB, ed. </w:t>
      </w:r>
      <w:r w:rsidRPr="003303A8">
        <w:rPr>
          <w:rFonts w:ascii="Arial" w:hAnsi="Arial" w:cs="Arial"/>
          <w:i/>
          <w:iCs/>
        </w:rPr>
        <w:t>Progress in Molecular Biology and Translational Science</w:t>
      </w:r>
      <w:r w:rsidRPr="003303A8">
        <w:rPr>
          <w:rFonts w:ascii="Arial" w:hAnsi="Arial" w:cs="Arial"/>
        </w:rPr>
        <w:t>. Vol 107. Molecular Biology of Neurodegenerative Diseases. Academic Press; 2012:79-100. doi:10.1016/B978-0-12-385883-2.00008-4</w:t>
      </w:r>
    </w:p>
    <w:p w:rsidRPr="003303A8" w:rsidR="007B388C" w:rsidP="007B388C" w:rsidRDefault="007B388C" w14:paraId="7F0EC32A" w14:textId="77777777">
      <w:pPr>
        <w:pStyle w:val="Bibliography"/>
        <w:rPr>
          <w:rFonts w:ascii="Arial" w:hAnsi="Arial" w:cs="Arial"/>
        </w:rPr>
      </w:pPr>
      <w:r w:rsidRPr="003303A8">
        <w:rPr>
          <w:rFonts w:ascii="Arial" w:hAnsi="Arial" w:cs="Arial"/>
        </w:rPr>
        <w:t>98.</w:t>
      </w:r>
      <w:r w:rsidRPr="003303A8">
        <w:rPr>
          <w:rFonts w:ascii="Arial" w:hAnsi="Arial" w:cs="Arial"/>
        </w:rPr>
        <w:tab/>
      </w:r>
      <w:r w:rsidRPr="003303A8">
        <w:rPr>
          <w:rFonts w:ascii="Arial" w:hAnsi="Arial" w:cs="Arial"/>
        </w:rPr>
        <w:t xml:space="preserve">Early-Stage and Preclinical Alzheimer Disease. </w:t>
      </w:r>
      <w:r w:rsidRPr="003303A8">
        <w:rPr>
          <w:rFonts w:ascii="Arial" w:hAnsi="Arial" w:cs="Arial"/>
          <w:i/>
          <w:iCs/>
        </w:rPr>
        <w:t>Alzheimer Dis Assoc Disord</w:t>
      </w:r>
      <w:r w:rsidRPr="003303A8">
        <w:rPr>
          <w:rFonts w:ascii="Arial" w:hAnsi="Arial" w:cs="Arial"/>
        </w:rPr>
        <w:t xml:space="preserve">. 2005;19(3):163. </w:t>
      </w:r>
      <w:proofErr w:type="gramStart"/>
      <w:r w:rsidRPr="003303A8">
        <w:rPr>
          <w:rFonts w:ascii="Arial" w:hAnsi="Arial" w:cs="Arial"/>
        </w:rPr>
        <w:t>doi:10.1097/01.wad</w:t>
      </w:r>
      <w:proofErr w:type="gramEnd"/>
      <w:r w:rsidRPr="003303A8">
        <w:rPr>
          <w:rFonts w:ascii="Arial" w:hAnsi="Arial" w:cs="Arial"/>
        </w:rPr>
        <w:t>.0000184005.22611.cc</w:t>
      </w:r>
    </w:p>
    <w:p w:rsidRPr="003303A8" w:rsidR="007B388C" w:rsidP="007B388C" w:rsidRDefault="007B388C" w14:paraId="74621FC3" w14:textId="77777777">
      <w:pPr>
        <w:pStyle w:val="Bibliography"/>
        <w:rPr>
          <w:rFonts w:ascii="Arial" w:hAnsi="Arial" w:cs="Arial"/>
        </w:rPr>
      </w:pPr>
      <w:r w:rsidRPr="003303A8">
        <w:rPr>
          <w:rFonts w:ascii="Arial" w:hAnsi="Arial" w:cs="Arial"/>
        </w:rPr>
        <w:t>99.</w:t>
      </w:r>
      <w:r w:rsidRPr="003303A8">
        <w:rPr>
          <w:rFonts w:ascii="Arial" w:hAnsi="Arial" w:cs="Arial"/>
        </w:rPr>
        <w:tab/>
      </w:r>
      <w:r w:rsidRPr="003303A8">
        <w:rPr>
          <w:rFonts w:ascii="Arial" w:hAnsi="Arial" w:cs="Arial"/>
        </w:rPr>
        <w:t xml:space="preserve">Dubois B, Hampel H, Feldman HH, et al. Preclinical Alzheimer’s disease: Definition, natural history, and diagnostic criteria. </w:t>
      </w:r>
      <w:r w:rsidRPr="003303A8">
        <w:rPr>
          <w:rFonts w:ascii="Arial" w:hAnsi="Arial" w:cs="Arial"/>
          <w:i/>
          <w:iCs/>
        </w:rPr>
        <w:t>Alzheimers Dement</w:t>
      </w:r>
      <w:r w:rsidRPr="003303A8">
        <w:rPr>
          <w:rFonts w:ascii="Arial" w:hAnsi="Arial" w:cs="Arial"/>
        </w:rPr>
        <w:t xml:space="preserve">. 2016;12(3):292-323. </w:t>
      </w:r>
      <w:proofErr w:type="gramStart"/>
      <w:r w:rsidRPr="003303A8">
        <w:rPr>
          <w:rFonts w:ascii="Arial" w:hAnsi="Arial" w:cs="Arial"/>
        </w:rPr>
        <w:t>doi:10.1016/j.jalz</w:t>
      </w:r>
      <w:proofErr w:type="gramEnd"/>
      <w:r w:rsidRPr="003303A8">
        <w:rPr>
          <w:rFonts w:ascii="Arial" w:hAnsi="Arial" w:cs="Arial"/>
        </w:rPr>
        <w:t>.2016.02.002</w:t>
      </w:r>
    </w:p>
    <w:p w:rsidRPr="003303A8" w:rsidR="007B388C" w:rsidP="007B388C" w:rsidRDefault="007B388C" w14:paraId="73695F44" w14:textId="77777777">
      <w:pPr>
        <w:pStyle w:val="Bibliography"/>
        <w:rPr>
          <w:rFonts w:ascii="Arial" w:hAnsi="Arial" w:cs="Arial"/>
        </w:rPr>
      </w:pPr>
      <w:r w:rsidRPr="003303A8">
        <w:rPr>
          <w:rFonts w:ascii="Arial" w:hAnsi="Arial" w:cs="Arial"/>
        </w:rPr>
        <w:t>100.</w:t>
      </w:r>
      <w:r w:rsidRPr="003303A8">
        <w:rPr>
          <w:rFonts w:ascii="Arial" w:hAnsi="Arial" w:cs="Arial"/>
        </w:rPr>
        <w:tab/>
      </w:r>
      <w:r w:rsidRPr="003303A8">
        <w:rPr>
          <w:rFonts w:ascii="Arial" w:hAnsi="Arial" w:cs="Arial"/>
        </w:rPr>
        <w:t xml:space="preserve">Baker LD, Snyder HM, Espeland MA, et al. Study design and methods: U.S. study to protect brain health through lifestyle intervention to reduce risk (U.S. POINTER). </w:t>
      </w:r>
      <w:r w:rsidRPr="003303A8">
        <w:rPr>
          <w:rFonts w:ascii="Arial" w:hAnsi="Arial" w:cs="Arial"/>
          <w:i/>
          <w:iCs/>
        </w:rPr>
        <w:t>Alzheimers Dement</w:t>
      </w:r>
      <w:r w:rsidRPr="003303A8">
        <w:rPr>
          <w:rFonts w:ascii="Arial" w:hAnsi="Arial" w:cs="Arial"/>
        </w:rPr>
        <w:t>. 2024;20(2):769-782. doi:10.1002/alz.13365</w:t>
      </w:r>
    </w:p>
    <w:p w:rsidRPr="003303A8" w:rsidR="007B388C" w:rsidP="007B388C" w:rsidRDefault="007B388C" w14:paraId="2C78B568" w14:textId="77777777">
      <w:pPr>
        <w:pStyle w:val="Bibliography"/>
        <w:rPr>
          <w:rFonts w:ascii="Arial" w:hAnsi="Arial" w:cs="Arial"/>
        </w:rPr>
      </w:pPr>
      <w:r w:rsidRPr="003303A8">
        <w:rPr>
          <w:rFonts w:ascii="Arial" w:hAnsi="Arial" w:cs="Arial"/>
        </w:rPr>
        <w:t>101.</w:t>
      </w:r>
      <w:r w:rsidRPr="003303A8">
        <w:rPr>
          <w:rFonts w:ascii="Arial" w:hAnsi="Arial" w:cs="Arial"/>
        </w:rPr>
        <w:tab/>
      </w:r>
      <w:r w:rsidRPr="003303A8">
        <w:rPr>
          <w:rFonts w:ascii="Arial" w:hAnsi="Arial" w:cs="Arial"/>
        </w:rPr>
        <w:t>Dementia Friends UK. https://www.dementiafriends.org.uk/. 2023. Accessed March 25, 2025. https://www.dementiafriends.org.uk/</w:t>
      </w:r>
    </w:p>
    <w:p w:rsidR="007B388C" w:rsidP="007B388C" w:rsidRDefault="007B388C" w14:paraId="2DD41A71" w14:textId="77777777">
      <w:pPr>
        <w:pStyle w:val="Bibliography"/>
      </w:pPr>
      <w:r w:rsidRPr="003303A8">
        <w:rPr>
          <w:rFonts w:ascii="Arial" w:hAnsi="Arial" w:cs="Arial"/>
        </w:rPr>
        <w:t>102.</w:t>
      </w:r>
      <w:r w:rsidRPr="003303A8">
        <w:rPr>
          <w:rFonts w:ascii="Arial" w:hAnsi="Arial" w:cs="Arial"/>
        </w:rPr>
        <w:tab/>
      </w:r>
      <w:r w:rsidRPr="003303A8">
        <w:rPr>
          <w:rFonts w:ascii="Arial" w:hAnsi="Arial" w:cs="Arial"/>
        </w:rPr>
        <w:t>Alzheimer’s Association. Our Commitment to Diversity and Inclusion | Alzheimer’s Association. Alzheimer’s Association. 2025. Accessed March 25, 2025. https://www.alz.org/about/our-commitment-to-diversity-and-inclusion</w:t>
      </w:r>
    </w:p>
    <w:p w:rsidRPr="00E0604E" w:rsidR="00E0604E" w:rsidP="00E0604E" w:rsidRDefault="008126D0" w14:paraId="21653BF6" w14:textId="381EAAB0">
      <w:r>
        <w:fldChar w:fldCharType="end"/>
      </w:r>
    </w:p>
    <w:sectPr w:rsidRPr="00E0604E" w:rsidR="00E0604E" w:rsidSect="005F19FB">
      <w:headerReference w:type="first" r:id="rId11"/>
      <w:pgSz w:w="12240" w:h="15840" w:orient="portrait"/>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E5373F" w:rsidP="00EC1EE6" w:rsidRDefault="00E5373F" w14:paraId="68EC5CEA" w14:textId="77777777">
      <w:pPr>
        <w:spacing w:after="0" w:line="240" w:lineRule="auto"/>
      </w:pPr>
      <w:r>
        <w:separator/>
      </w:r>
    </w:p>
  </w:endnote>
  <w:endnote w:type="continuationSeparator" w:id="0">
    <w:p w:rsidR="00E5373F" w:rsidP="00EC1EE6" w:rsidRDefault="00E5373F" w14:paraId="1EF3E772" w14:textId="77777777">
      <w:pPr>
        <w:spacing w:after="0" w:line="240" w:lineRule="auto"/>
      </w:pPr>
      <w:r>
        <w:continuationSeparator/>
      </w:r>
    </w:p>
  </w:endnote>
  <w:endnote w:type="continuationNotice" w:id="1">
    <w:p w:rsidR="00E5373F" w:rsidRDefault="00E5373F" w14:paraId="19881A52"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E5373F" w:rsidP="00EC1EE6" w:rsidRDefault="00E5373F" w14:paraId="3833DA79" w14:textId="77777777">
      <w:pPr>
        <w:spacing w:after="0" w:line="240" w:lineRule="auto"/>
      </w:pPr>
      <w:r>
        <w:separator/>
      </w:r>
    </w:p>
  </w:footnote>
  <w:footnote w:type="continuationSeparator" w:id="0">
    <w:p w:rsidR="00E5373F" w:rsidP="00EC1EE6" w:rsidRDefault="00E5373F" w14:paraId="1ACFF9E2" w14:textId="77777777">
      <w:pPr>
        <w:spacing w:after="0" w:line="240" w:lineRule="auto"/>
      </w:pPr>
      <w:r>
        <w:continuationSeparator/>
      </w:r>
    </w:p>
  </w:footnote>
  <w:footnote w:type="continuationNotice" w:id="1">
    <w:p w:rsidR="00E5373F" w:rsidRDefault="00E5373F" w14:paraId="449C02F6"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ma14="http://schemas.microsoft.com/office/mac/drawingml/2011/main" mc:Ignorable="w14 w15 w16se w16cid w16 w16cex w16sdtdh w16sdtfl w16du wp14">
  <w:p w:rsidR="005F19FB" w:rsidP="005F19FB" w:rsidRDefault="005F19FB" w14:paraId="34363F20" w14:textId="77777777">
    <w:pPr>
      <w:pStyle w:val="Header"/>
    </w:pPr>
    <w:r w:rsidRPr="008D0002">
      <w:rPr>
        <w:noProof/>
      </w:rPr>
      <w:drawing>
        <wp:anchor distT="0" distB="0" distL="114300" distR="114300" simplePos="0" relativeHeight="251658240" behindDoc="1" locked="0" layoutInCell="1" allowOverlap="1" wp14:anchorId="202080D3" wp14:editId="19FADC19">
          <wp:simplePos x="0" y="0"/>
          <wp:positionH relativeFrom="page">
            <wp:posOffset>429260</wp:posOffset>
          </wp:positionH>
          <wp:positionV relativeFrom="paragraph">
            <wp:posOffset>-135255</wp:posOffset>
          </wp:positionV>
          <wp:extent cx="2406650" cy="842645"/>
          <wp:effectExtent l="0" t="0" r="0" b="0"/>
          <wp:wrapNone/>
          <wp:docPr id="2" name="Picture 2" descr="A white background with black and white cloud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white background with black and white clouds&#10;&#10;Description automatically generated"/>
                  <pic:cNvPicPr/>
                </pic:nvPicPr>
                <pic:blipFill rotWithShape="1">
                  <a:blip r:embed="rId1">
                    <a:extLst>
                      <a:ext uri="{28A0092B-C50C-407E-A947-70E740481C1C}">
                        <a14:useLocalDpi xmlns:a14="http://schemas.microsoft.com/office/drawing/2010/main" val="0"/>
                      </a:ext>
                    </a:extLst>
                  </a:blip>
                  <a:srcRect l="4181" t="24331" r="61589" b="7761"/>
                  <a:stretch/>
                </pic:blipFill>
                <pic:spPr bwMode="auto">
                  <a:xfrm>
                    <a:off x="0" y="0"/>
                    <a:ext cx="2406650" cy="842645"/>
                  </a:xfrm>
                  <a:prstGeom prst="rect">
                    <a:avLst/>
                  </a:prstGeom>
                  <a:ln>
                    <a:noFill/>
                  </a:ln>
                  <a:extLst>
                    <a:ext uri="{53640926-AAD7-44D8-BBD7-CCE9431645EC}">
                      <a14:shadowObscured xmlns:a14="http://schemas.microsoft.com/office/drawing/2010/main"/>
                    </a:ext>
                    <a:ext uri="{FAA26D3D-D897-4be2-8F04-BA451C77F1D7}">
                      <ma14:placeholderFlag xmlns:a14="http://schemas.microsoft.com/office/drawing/2010/main"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ext>
                  </a:extLst>
                </pic:spPr>
              </pic:pic>
            </a:graphicData>
          </a:graphic>
          <wp14:sizeRelH relativeFrom="page">
            <wp14:pctWidth>0</wp14:pctWidth>
          </wp14:sizeRelH>
          <wp14:sizeRelV relativeFrom="page">
            <wp14:pctHeight>0</wp14:pctHeight>
          </wp14:sizeRelV>
        </wp:anchor>
      </w:drawing>
    </w:r>
    <w:r w:rsidRPr="008D0002">
      <w:rPr>
        <w:rFonts w:hint="eastAsia"/>
        <w:noProof/>
      </w:rPr>
      <w:drawing>
        <wp:anchor distT="0" distB="0" distL="114300" distR="114300" simplePos="0" relativeHeight="251658241" behindDoc="1" locked="0" layoutInCell="1" allowOverlap="1" wp14:anchorId="47DA5C76" wp14:editId="1F19E93F">
          <wp:simplePos x="0" y="0"/>
          <wp:positionH relativeFrom="page">
            <wp:posOffset>5233145</wp:posOffset>
          </wp:positionH>
          <wp:positionV relativeFrom="paragraph">
            <wp:posOffset>-39287</wp:posOffset>
          </wp:positionV>
          <wp:extent cx="2206960" cy="652007"/>
          <wp:effectExtent l="0" t="0" r="3175" b="0"/>
          <wp:wrapNone/>
          <wp:docPr id="3" name="Picture 3" descr="A white background with black and white cloud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white background with black and white clouds&#10;&#10;Description automatically generated"/>
                  <pic:cNvPicPr/>
                </pic:nvPicPr>
                <pic:blipFill rotWithShape="1">
                  <a:blip r:embed="rId2">
                    <a:extLst>
                      <a:ext uri="{28A0092B-C50C-407E-A947-70E740481C1C}">
                        <a14:useLocalDpi xmlns:a14="http://schemas.microsoft.com/office/drawing/2010/main" val="0"/>
                      </a:ext>
                    </a:extLst>
                  </a:blip>
                  <a:srcRect l="67826" t="28990" r="6189" b="27508"/>
                  <a:stretch/>
                </pic:blipFill>
                <pic:spPr bwMode="auto">
                  <a:xfrm>
                    <a:off x="0" y="0"/>
                    <a:ext cx="2206960" cy="652007"/>
                  </a:xfrm>
                  <a:prstGeom prst="rect">
                    <a:avLst/>
                  </a:prstGeom>
                  <a:ln>
                    <a:noFill/>
                  </a:ln>
                  <a:extLst>
                    <a:ext uri="{53640926-AAD7-44D8-BBD7-CCE9431645EC}">
                      <a14:shadowObscured xmlns:a14="http://schemas.microsoft.com/office/drawing/2010/main"/>
                    </a:ext>
                    <a:ext uri="{FAA26D3D-D897-4be2-8F04-BA451C77F1D7}">
                      <ma14:placeholderFlag xmlns:a14="http://schemas.microsoft.com/office/drawing/2010/main"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ext>
                  </a:extLst>
                </pic:spPr>
              </pic:pic>
            </a:graphicData>
          </a:graphic>
          <wp14:sizeRelH relativeFrom="page">
            <wp14:pctWidth>0</wp14:pctWidth>
          </wp14:sizeRelH>
          <wp14:sizeRelV relativeFrom="page">
            <wp14:pctHeight>0</wp14:pctHeight>
          </wp14:sizeRelV>
        </wp:anchor>
      </w:drawing>
    </w:r>
  </w:p>
  <w:p w:rsidR="00EC1EE6" w:rsidRDefault="00EC1EE6" w14:paraId="37428B86"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65231A"/>
    <w:multiLevelType w:val="multilevel"/>
    <w:tmpl w:val="AE14CF8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 w15:restartNumberingAfterBreak="0">
    <w:nsid w:val="0FB41A8D"/>
    <w:multiLevelType w:val="multilevel"/>
    <w:tmpl w:val="7AFCA0B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 w15:restartNumberingAfterBreak="0">
    <w:nsid w:val="139031CE"/>
    <w:multiLevelType w:val="hybridMultilevel"/>
    <w:tmpl w:val="0AE2F176"/>
    <w:lvl w:ilvl="0" w:tplc="BB60C1DE">
      <w:start w:val="10"/>
      <w:numFmt w:val="bullet"/>
      <w:lvlText w:val=""/>
      <w:lvlJc w:val="left"/>
      <w:pPr>
        <w:ind w:left="720" w:hanging="360"/>
      </w:pPr>
      <w:rPr>
        <w:rFonts w:hint="default" w:ascii="Symbol" w:hAnsi="Symbo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169F0978"/>
    <w:multiLevelType w:val="multilevel"/>
    <w:tmpl w:val="D072203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 w15:restartNumberingAfterBreak="0">
    <w:nsid w:val="16AC7CFA"/>
    <w:multiLevelType w:val="hybridMultilevel"/>
    <w:tmpl w:val="36E2E502"/>
    <w:lvl w:ilvl="0" w:tplc="77185DCE">
      <w:start w:val="99"/>
      <w:numFmt w:val="bullet"/>
      <w:lvlText w:val="-"/>
      <w:lvlJc w:val="left"/>
      <w:pPr>
        <w:ind w:left="720" w:hanging="360"/>
      </w:pPr>
      <w:rPr>
        <w:rFonts w:hint="default" w:ascii="Times New Roman" w:hAnsi="Times New Roman" w:eastAsia="Times New Roman" w:cs="Times New Roman"/>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1F843F9B"/>
    <w:multiLevelType w:val="multilevel"/>
    <w:tmpl w:val="A2BEED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14D4E6F"/>
    <w:multiLevelType w:val="hybridMultilevel"/>
    <w:tmpl w:val="D9BA77A4"/>
    <w:lvl w:ilvl="0" w:tplc="DB7A559C">
      <w:start w:val="1"/>
      <w:numFmt w:val="bullet"/>
      <w:lvlText w:val=""/>
      <w:lvlJc w:val="left"/>
      <w:pPr>
        <w:ind w:left="720" w:hanging="360"/>
      </w:pPr>
      <w:rPr>
        <w:rFonts w:hint="default" w:ascii="Symbol" w:hAnsi="Symbol" w:cs="Times New Roman"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243F50EF"/>
    <w:multiLevelType w:val="hybridMultilevel"/>
    <w:tmpl w:val="B6CEAF56"/>
    <w:lvl w:ilvl="0" w:tplc="F63C25BA">
      <w:start w:val="99"/>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15:restartNumberingAfterBreak="0">
    <w:nsid w:val="29195C71"/>
    <w:multiLevelType w:val="hybridMultilevel"/>
    <w:tmpl w:val="77EC3AE2"/>
    <w:lvl w:ilvl="0" w:tplc="04090001">
      <w:start w:val="99"/>
      <w:numFmt w:val="bullet"/>
      <w:lvlText w:val=""/>
      <w:lvlJc w:val="left"/>
      <w:pPr>
        <w:ind w:left="720" w:hanging="360"/>
      </w:pPr>
      <w:rPr>
        <w:rFonts w:hint="default" w:ascii="Symbol" w:hAnsi="Symbol" w:eastAsia="Times New Roman" w:cs="Times New Roman"/>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15:restartNumberingAfterBreak="0">
    <w:nsid w:val="2AE6696F"/>
    <w:multiLevelType w:val="hybridMultilevel"/>
    <w:tmpl w:val="06682542"/>
    <w:lvl w:ilvl="0" w:tplc="BCCC96D2">
      <w:start w:val="10"/>
      <w:numFmt w:val="bullet"/>
      <w:lvlText w:val=""/>
      <w:lvlJc w:val="left"/>
      <w:pPr>
        <w:ind w:left="720" w:hanging="360"/>
      </w:pPr>
      <w:rPr>
        <w:rFonts w:hint="default" w:ascii="Symbol" w:hAnsi="Symbol" w:cs="Arial" w:eastAsiaTheme="majorEastAsia"/>
        <w:color w:val="000000"/>
        <w:sz w:val="20"/>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0" w15:restartNumberingAfterBreak="0">
    <w:nsid w:val="2B18601E"/>
    <w:multiLevelType w:val="hybridMultilevel"/>
    <w:tmpl w:val="80129708"/>
    <w:lvl w:ilvl="0" w:tplc="DEE24124">
      <w:start w:val="1"/>
      <w:numFmt w:val="bullet"/>
      <w:lvlText w:val="-"/>
      <w:lvlJc w:val="left"/>
      <w:pPr>
        <w:ind w:left="720" w:hanging="360"/>
      </w:pPr>
      <w:rPr>
        <w:rFonts w:hint="default" w:ascii="Times New Roman" w:hAnsi="Times New Roman" w:cs="Times New Roman" w:eastAsiaTheme="minorHAnsi"/>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1" w15:restartNumberingAfterBreak="0">
    <w:nsid w:val="3A657A43"/>
    <w:multiLevelType w:val="hybridMultilevel"/>
    <w:tmpl w:val="53C047B2"/>
    <w:lvl w:ilvl="0" w:tplc="04090001">
      <w:numFmt w:val="bullet"/>
      <w:lvlText w:val=""/>
      <w:lvlJc w:val="left"/>
      <w:pPr>
        <w:ind w:left="720" w:hanging="360"/>
      </w:pPr>
      <w:rPr>
        <w:rFonts w:hint="default" w:ascii="Symbol" w:hAnsi="Symbol" w:eastAsia="Times New Roman" w:cs="Times New Roman"/>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2" w15:restartNumberingAfterBreak="0">
    <w:nsid w:val="42171E73"/>
    <w:multiLevelType w:val="multilevel"/>
    <w:tmpl w:val="A630EC5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num w:numId="1" w16cid:durableId="346250986">
    <w:abstractNumId w:val="0"/>
  </w:num>
  <w:num w:numId="2" w16cid:durableId="1181772111">
    <w:abstractNumId w:val="3"/>
  </w:num>
  <w:num w:numId="3" w16cid:durableId="443160778">
    <w:abstractNumId w:val="12"/>
  </w:num>
  <w:num w:numId="4" w16cid:durableId="833882011">
    <w:abstractNumId w:val="1"/>
  </w:num>
  <w:num w:numId="5" w16cid:durableId="1575309770">
    <w:abstractNumId w:val="10"/>
  </w:num>
  <w:num w:numId="6" w16cid:durableId="615602040">
    <w:abstractNumId w:val="6"/>
  </w:num>
  <w:num w:numId="7" w16cid:durableId="1004211669">
    <w:abstractNumId w:val="2"/>
  </w:num>
  <w:num w:numId="8" w16cid:durableId="346559524">
    <w:abstractNumId w:val="9"/>
  </w:num>
  <w:num w:numId="9" w16cid:durableId="1504668033">
    <w:abstractNumId w:val="5"/>
  </w:num>
  <w:num w:numId="10" w16cid:durableId="655763269">
    <w:abstractNumId w:val="11"/>
  </w:num>
  <w:num w:numId="11" w16cid:durableId="1596858904">
    <w:abstractNumId w:val="4"/>
  </w:num>
  <w:num w:numId="12" w16cid:durableId="1374497755">
    <w:abstractNumId w:val="8"/>
  </w:num>
  <w:num w:numId="13" w16cid:durableId="2022462839">
    <w:abstractNumId w:val="7"/>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20"/>
  <w:proofState w:spelling="clean" w:grammar="dirty"/>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7C00"/>
    <w:rsid w:val="00000305"/>
    <w:rsid w:val="0000052C"/>
    <w:rsid w:val="00000ABB"/>
    <w:rsid w:val="00000C9D"/>
    <w:rsid w:val="00000FD4"/>
    <w:rsid w:val="00002B7A"/>
    <w:rsid w:val="00003C01"/>
    <w:rsid w:val="00003C8D"/>
    <w:rsid w:val="00003E16"/>
    <w:rsid w:val="000041F3"/>
    <w:rsid w:val="000065D8"/>
    <w:rsid w:val="0000685F"/>
    <w:rsid w:val="00007D61"/>
    <w:rsid w:val="00007E42"/>
    <w:rsid w:val="00007F23"/>
    <w:rsid w:val="00010833"/>
    <w:rsid w:val="00010E03"/>
    <w:rsid w:val="00012586"/>
    <w:rsid w:val="00013948"/>
    <w:rsid w:val="00013DB8"/>
    <w:rsid w:val="000148D0"/>
    <w:rsid w:val="00015C59"/>
    <w:rsid w:val="00016035"/>
    <w:rsid w:val="000160E0"/>
    <w:rsid w:val="00016BE6"/>
    <w:rsid w:val="00016C78"/>
    <w:rsid w:val="00017FBF"/>
    <w:rsid w:val="00020039"/>
    <w:rsid w:val="0002025D"/>
    <w:rsid w:val="000203ED"/>
    <w:rsid w:val="00020C10"/>
    <w:rsid w:val="00020D55"/>
    <w:rsid w:val="00021B34"/>
    <w:rsid w:val="000221E0"/>
    <w:rsid w:val="0002291D"/>
    <w:rsid w:val="00023538"/>
    <w:rsid w:val="00024421"/>
    <w:rsid w:val="000245E0"/>
    <w:rsid w:val="0002487E"/>
    <w:rsid w:val="00025355"/>
    <w:rsid w:val="00025874"/>
    <w:rsid w:val="000274DF"/>
    <w:rsid w:val="00027A96"/>
    <w:rsid w:val="00027F4A"/>
    <w:rsid w:val="00031483"/>
    <w:rsid w:val="000326C0"/>
    <w:rsid w:val="00033026"/>
    <w:rsid w:val="00033479"/>
    <w:rsid w:val="00033587"/>
    <w:rsid w:val="00033C45"/>
    <w:rsid w:val="000342F7"/>
    <w:rsid w:val="000346FC"/>
    <w:rsid w:val="00034756"/>
    <w:rsid w:val="00035AE0"/>
    <w:rsid w:val="00035EE6"/>
    <w:rsid w:val="000361CF"/>
    <w:rsid w:val="000377A4"/>
    <w:rsid w:val="000422E9"/>
    <w:rsid w:val="0004280D"/>
    <w:rsid w:val="00043B4A"/>
    <w:rsid w:val="00044125"/>
    <w:rsid w:val="00044CA5"/>
    <w:rsid w:val="00044E30"/>
    <w:rsid w:val="00045CB5"/>
    <w:rsid w:val="00046A70"/>
    <w:rsid w:val="00047C31"/>
    <w:rsid w:val="00047D1B"/>
    <w:rsid w:val="00051AA1"/>
    <w:rsid w:val="00052F57"/>
    <w:rsid w:val="0005474D"/>
    <w:rsid w:val="00054E0B"/>
    <w:rsid w:val="0005512A"/>
    <w:rsid w:val="00056CBD"/>
    <w:rsid w:val="00057A6E"/>
    <w:rsid w:val="00057ADE"/>
    <w:rsid w:val="000613C9"/>
    <w:rsid w:val="00063014"/>
    <w:rsid w:val="00063370"/>
    <w:rsid w:val="0006375C"/>
    <w:rsid w:val="00063BE7"/>
    <w:rsid w:val="0006462D"/>
    <w:rsid w:val="00064C0F"/>
    <w:rsid w:val="00065564"/>
    <w:rsid w:val="00065697"/>
    <w:rsid w:val="000660C6"/>
    <w:rsid w:val="0006613D"/>
    <w:rsid w:val="000672FA"/>
    <w:rsid w:val="00067C60"/>
    <w:rsid w:val="00067EA6"/>
    <w:rsid w:val="0007237B"/>
    <w:rsid w:val="000723FC"/>
    <w:rsid w:val="00072C73"/>
    <w:rsid w:val="0007337A"/>
    <w:rsid w:val="00073CA2"/>
    <w:rsid w:val="00073D4A"/>
    <w:rsid w:val="00073DD7"/>
    <w:rsid w:val="00074C6C"/>
    <w:rsid w:val="000752FA"/>
    <w:rsid w:val="0007604E"/>
    <w:rsid w:val="00076544"/>
    <w:rsid w:val="00076F47"/>
    <w:rsid w:val="00077594"/>
    <w:rsid w:val="0007792A"/>
    <w:rsid w:val="00077A6E"/>
    <w:rsid w:val="00077C13"/>
    <w:rsid w:val="00080F1A"/>
    <w:rsid w:val="00081605"/>
    <w:rsid w:val="000816EB"/>
    <w:rsid w:val="00083749"/>
    <w:rsid w:val="00083EFE"/>
    <w:rsid w:val="00084458"/>
    <w:rsid w:val="0008467E"/>
    <w:rsid w:val="00085F0A"/>
    <w:rsid w:val="000868C5"/>
    <w:rsid w:val="00087031"/>
    <w:rsid w:val="0008703D"/>
    <w:rsid w:val="00087375"/>
    <w:rsid w:val="00087930"/>
    <w:rsid w:val="00087D8A"/>
    <w:rsid w:val="00090C4D"/>
    <w:rsid w:val="00091056"/>
    <w:rsid w:val="00091CAE"/>
    <w:rsid w:val="00093981"/>
    <w:rsid w:val="000944AA"/>
    <w:rsid w:val="000959B8"/>
    <w:rsid w:val="000976C4"/>
    <w:rsid w:val="000A00E4"/>
    <w:rsid w:val="000A06BA"/>
    <w:rsid w:val="000A1A42"/>
    <w:rsid w:val="000A2312"/>
    <w:rsid w:val="000A2BCE"/>
    <w:rsid w:val="000A317F"/>
    <w:rsid w:val="000A3526"/>
    <w:rsid w:val="000A530A"/>
    <w:rsid w:val="000A53AF"/>
    <w:rsid w:val="000A5447"/>
    <w:rsid w:val="000A56AB"/>
    <w:rsid w:val="000A6036"/>
    <w:rsid w:val="000A6440"/>
    <w:rsid w:val="000B07F4"/>
    <w:rsid w:val="000B1A37"/>
    <w:rsid w:val="000B1BB4"/>
    <w:rsid w:val="000B20A6"/>
    <w:rsid w:val="000B2177"/>
    <w:rsid w:val="000B3487"/>
    <w:rsid w:val="000B3879"/>
    <w:rsid w:val="000B477C"/>
    <w:rsid w:val="000B4B85"/>
    <w:rsid w:val="000B4C56"/>
    <w:rsid w:val="000B5348"/>
    <w:rsid w:val="000B5B7D"/>
    <w:rsid w:val="000B5E07"/>
    <w:rsid w:val="000B6D3C"/>
    <w:rsid w:val="000B6F6D"/>
    <w:rsid w:val="000B738A"/>
    <w:rsid w:val="000B746C"/>
    <w:rsid w:val="000B7EBF"/>
    <w:rsid w:val="000C01C2"/>
    <w:rsid w:val="000C0AC3"/>
    <w:rsid w:val="000C11A9"/>
    <w:rsid w:val="000C1685"/>
    <w:rsid w:val="000C2074"/>
    <w:rsid w:val="000C2830"/>
    <w:rsid w:val="000C2CE0"/>
    <w:rsid w:val="000C3FB9"/>
    <w:rsid w:val="000C4383"/>
    <w:rsid w:val="000C4A6D"/>
    <w:rsid w:val="000C5252"/>
    <w:rsid w:val="000C5430"/>
    <w:rsid w:val="000C6958"/>
    <w:rsid w:val="000C71B3"/>
    <w:rsid w:val="000C76F3"/>
    <w:rsid w:val="000C7F1C"/>
    <w:rsid w:val="000D073E"/>
    <w:rsid w:val="000D1819"/>
    <w:rsid w:val="000D1FD0"/>
    <w:rsid w:val="000D2ADD"/>
    <w:rsid w:val="000D5FD7"/>
    <w:rsid w:val="000D66C5"/>
    <w:rsid w:val="000E1188"/>
    <w:rsid w:val="000E1500"/>
    <w:rsid w:val="000E3B2A"/>
    <w:rsid w:val="000E4F47"/>
    <w:rsid w:val="000E5F6E"/>
    <w:rsid w:val="000E6275"/>
    <w:rsid w:val="000E6403"/>
    <w:rsid w:val="000E6890"/>
    <w:rsid w:val="000E6D57"/>
    <w:rsid w:val="000E6F1D"/>
    <w:rsid w:val="000E6FBD"/>
    <w:rsid w:val="000E709E"/>
    <w:rsid w:val="000F029A"/>
    <w:rsid w:val="000F22E8"/>
    <w:rsid w:val="000F2307"/>
    <w:rsid w:val="000F23A7"/>
    <w:rsid w:val="000F24C0"/>
    <w:rsid w:val="000F2520"/>
    <w:rsid w:val="000F36F7"/>
    <w:rsid w:val="000F4230"/>
    <w:rsid w:val="000F46B7"/>
    <w:rsid w:val="000F58ED"/>
    <w:rsid w:val="000F76E0"/>
    <w:rsid w:val="000F7902"/>
    <w:rsid w:val="000F79A6"/>
    <w:rsid w:val="001006F2"/>
    <w:rsid w:val="00100EBE"/>
    <w:rsid w:val="00101358"/>
    <w:rsid w:val="00101373"/>
    <w:rsid w:val="001017AE"/>
    <w:rsid w:val="00101850"/>
    <w:rsid w:val="00102A5C"/>
    <w:rsid w:val="0010380B"/>
    <w:rsid w:val="00103E9E"/>
    <w:rsid w:val="00104A70"/>
    <w:rsid w:val="00104C6F"/>
    <w:rsid w:val="00104FAD"/>
    <w:rsid w:val="00105235"/>
    <w:rsid w:val="0010527D"/>
    <w:rsid w:val="001052EA"/>
    <w:rsid w:val="00105710"/>
    <w:rsid w:val="0010577F"/>
    <w:rsid w:val="00105A68"/>
    <w:rsid w:val="00105D3C"/>
    <w:rsid w:val="00106E31"/>
    <w:rsid w:val="00106EF9"/>
    <w:rsid w:val="001077E7"/>
    <w:rsid w:val="00107977"/>
    <w:rsid w:val="00107BF0"/>
    <w:rsid w:val="00107E88"/>
    <w:rsid w:val="00111563"/>
    <w:rsid w:val="001117FC"/>
    <w:rsid w:val="00111B2B"/>
    <w:rsid w:val="00112DBC"/>
    <w:rsid w:val="001130B7"/>
    <w:rsid w:val="0011352A"/>
    <w:rsid w:val="001136AD"/>
    <w:rsid w:val="00113C35"/>
    <w:rsid w:val="00113E39"/>
    <w:rsid w:val="00113FB8"/>
    <w:rsid w:val="00114A1F"/>
    <w:rsid w:val="00114E09"/>
    <w:rsid w:val="001158B5"/>
    <w:rsid w:val="001158F2"/>
    <w:rsid w:val="0011763C"/>
    <w:rsid w:val="00117CAC"/>
    <w:rsid w:val="00117FBB"/>
    <w:rsid w:val="001211E1"/>
    <w:rsid w:val="00121DFD"/>
    <w:rsid w:val="001220E7"/>
    <w:rsid w:val="0012237A"/>
    <w:rsid w:val="0012276E"/>
    <w:rsid w:val="0012374A"/>
    <w:rsid w:val="00124279"/>
    <w:rsid w:val="00124A06"/>
    <w:rsid w:val="00124B25"/>
    <w:rsid w:val="00124BF7"/>
    <w:rsid w:val="001259F2"/>
    <w:rsid w:val="00125A9F"/>
    <w:rsid w:val="00125ABF"/>
    <w:rsid w:val="00125CE6"/>
    <w:rsid w:val="00126AA2"/>
    <w:rsid w:val="00127687"/>
    <w:rsid w:val="001313D0"/>
    <w:rsid w:val="0013175C"/>
    <w:rsid w:val="00131941"/>
    <w:rsid w:val="001322D0"/>
    <w:rsid w:val="00132367"/>
    <w:rsid w:val="00133348"/>
    <w:rsid w:val="001336FD"/>
    <w:rsid w:val="00134D0E"/>
    <w:rsid w:val="00134DD7"/>
    <w:rsid w:val="00135289"/>
    <w:rsid w:val="0013534F"/>
    <w:rsid w:val="00135392"/>
    <w:rsid w:val="001357BB"/>
    <w:rsid w:val="001359B9"/>
    <w:rsid w:val="00136132"/>
    <w:rsid w:val="00136B60"/>
    <w:rsid w:val="00136F40"/>
    <w:rsid w:val="00137184"/>
    <w:rsid w:val="00137519"/>
    <w:rsid w:val="00137719"/>
    <w:rsid w:val="001378BA"/>
    <w:rsid w:val="001403CE"/>
    <w:rsid w:val="00140A03"/>
    <w:rsid w:val="00140A11"/>
    <w:rsid w:val="00141E1C"/>
    <w:rsid w:val="00142E95"/>
    <w:rsid w:val="001437CC"/>
    <w:rsid w:val="00144540"/>
    <w:rsid w:val="00144858"/>
    <w:rsid w:val="00144D5E"/>
    <w:rsid w:val="001455EA"/>
    <w:rsid w:val="00147476"/>
    <w:rsid w:val="0015004C"/>
    <w:rsid w:val="00150374"/>
    <w:rsid w:val="00151AA9"/>
    <w:rsid w:val="00153380"/>
    <w:rsid w:val="001536D6"/>
    <w:rsid w:val="00154C6B"/>
    <w:rsid w:val="00154ECE"/>
    <w:rsid w:val="001550BD"/>
    <w:rsid w:val="00155181"/>
    <w:rsid w:val="00155366"/>
    <w:rsid w:val="00155E33"/>
    <w:rsid w:val="00156AA7"/>
    <w:rsid w:val="001577BE"/>
    <w:rsid w:val="00157847"/>
    <w:rsid w:val="00157D39"/>
    <w:rsid w:val="00160006"/>
    <w:rsid w:val="001603CF"/>
    <w:rsid w:val="001609D2"/>
    <w:rsid w:val="00160E05"/>
    <w:rsid w:val="00161470"/>
    <w:rsid w:val="00162885"/>
    <w:rsid w:val="0016371A"/>
    <w:rsid w:val="0016393B"/>
    <w:rsid w:val="00164C07"/>
    <w:rsid w:val="00164D3B"/>
    <w:rsid w:val="0016518C"/>
    <w:rsid w:val="00165AC0"/>
    <w:rsid w:val="00167A94"/>
    <w:rsid w:val="00167C7C"/>
    <w:rsid w:val="00167CA9"/>
    <w:rsid w:val="00171974"/>
    <w:rsid w:val="00171B5B"/>
    <w:rsid w:val="00172B6E"/>
    <w:rsid w:val="00173C8E"/>
    <w:rsid w:val="001741F1"/>
    <w:rsid w:val="0017437B"/>
    <w:rsid w:val="001743CE"/>
    <w:rsid w:val="0017517E"/>
    <w:rsid w:val="00175207"/>
    <w:rsid w:val="001754EE"/>
    <w:rsid w:val="00176068"/>
    <w:rsid w:val="001765C0"/>
    <w:rsid w:val="00180B7E"/>
    <w:rsid w:val="00180FC2"/>
    <w:rsid w:val="00181044"/>
    <w:rsid w:val="00181158"/>
    <w:rsid w:val="00181196"/>
    <w:rsid w:val="00181256"/>
    <w:rsid w:val="001817FD"/>
    <w:rsid w:val="00181ABD"/>
    <w:rsid w:val="00182039"/>
    <w:rsid w:val="00182385"/>
    <w:rsid w:val="0018241A"/>
    <w:rsid w:val="00182541"/>
    <w:rsid w:val="00182AD1"/>
    <w:rsid w:val="0018315B"/>
    <w:rsid w:val="00183A52"/>
    <w:rsid w:val="00184191"/>
    <w:rsid w:val="001843E3"/>
    <w:rsid w:val="00184F68"/>
    <w:rsid w:val="00185125"/>
    <w:rsid w:val="00185327"/>
    <w:rsid w:val="00186302"/>
    <w:rsid w:val="00186677"/>
    <w:rsid w:val="001868EF"/>
    <w:rsid w:val="00186F35"/>
    <w:rsid w:val="001905A4"/>
    <w:rsid w:val="001909EF"/>
    <w:rsid w:val="00191377"/>
    <w:rsid w:val="0019139E"/>
    <w:rsid w:val="00192C24"/>
    <w:rsid w:val="00193817"/>
    <w:rsid w:val="00193DCE"/>
    <w:rsid w:val="00194691"/>
    <w:rsid w:val="00194722"/>
    <w:rsid w:val="0019480B"/>
    <w:rsid w:val="00194FB0"/>
    <w:rsid w:val="001952A5"/>
    <w:rsid w:val="0019582E"/>
    <w:rsid w:val="001959C4"/>
    <w:rsid w:val="00195B01"/>
    <w:rsid w:val="00195FB6"/>
    <w:rsid w:val="00197253"/>
    <w:rsid w:val="00197560"/>
    <w:rsid w:val="00197886"/>
    <w:rsid w:val="001A09F8"/>
    <w:rsid w:val="001A1979"/>
    <w:rsid w:val="001A1C27"/>
    <w:rsid w:val="001A2714"/>
    <w:rsid w:val="001A340D"/>
    <w:rsid w:val="001A3669"/>
    <w:rsid w:val="001A37D3"/>
    <w:rsid w:val="001A3EAA"/>
    <w:rsid w:val="001A40E8"/>
    <w:rsid w:val="001A4EF5"/>
    <w:rsid w:val="001A55BB"/>
    <w:rsid w:val="001A5859"/>
    <w:rsid w:val="001A5C21"/>
    <w:rsid w:val="001A6716"/>
    <w:rsid w:val="001A783A"/>
    <w:rsid w:val="001B01FF"/>
    <w:rsid w:val="001B09D9"/>
    <w:rsid w:val="001B0F16"/>
    <w:rsid w:val="001B1140"/>
    <w:rsid w:val="001B221B"/>
    <w:rsid w:val="001B275A"/>
    <w:rsid w:val="001B2DCF"/>
    <w:rsid w:val="001B316E"/>
    <w:rsid w:val="001B3F0F"/>
    <w:rsid w:val="001B4313"/>
    <w:rsid w:val="001B674C"/>
    <w:rsid w:val="001B6CCD"/>
    <w:rsid w:val="001B6D7A"/>
    <w:rsid w:val="001B7482"/>
    <w:rsid w:val="001C0CF1"/>
    <w:rsid w:val="001C1006"/>
    <w:rsid w:val="001C1FF0"/>
    <w:rsid w:val="001C28F2"/>
    <w:rsid w:val="001C2A0C"/>
    <w:rsid w:val="001C3140"/>
    <w:rsid w:val="001C3801"/>
    <w:rsid w:val="001C401F"/>
    <w:rsid w:val="001C4603"/>
    <w:rsid w:val="001C4B97"/>
    <w:rsid w:val="001C64F0"/>
    <w:rsid w:val="001C6CB7"/>
    <w:rsid w:val="001D00AF"/>
    <w:rsid w:val="001D086D"/>
    <w:rsid w:val="001D1872"/>
    <w:rsid w:val="001D1A68"/>
    <w:rsid w:val="001D1EC2"/>
    <w:rsid w:val="001D2E6E"/>
    <w:rsid w:val="001D45E5"/>
    <w:rsid w:val="001D4E3C"/>
    <w:rsid w:val="001D5EDE"/>
    <w:rsid w:val="001D647B"/>
    <w:rsid w:val="001D68DC"/>
    <w:rsid w:val="001D6C69"/>
    <w:rsid w:val="001D7046"/>
    <w:rsid w:val="001D7562"/>
    <w:rsid w:val="001D7CAE"/>
    <w:rsid w:val="001E0FEB"/>
    <w:rsid w:val="001E1EF2"/>
    <w:rsid w:val="001E20E3"/>
    <w:rsid w:val="001E3659"/>
    <w:rsid w:val="001E3D7E"/>
    <w:rsid w:val="001E4C30"/>
    <w:rsid w:val="001E51B4"/>
    <w:rsid w:val="001E580D"/>
    <w:rsid w:val="001E5A1D"/>
    <w:rsid w:val="001E626C"/>
    <w:rsid w:val="001E6DA8"/>
    <w:rsid w:val="001E7613"/>
    <w:rsid w:val="001E793F"/>
    <w:rsid w:val="001F1D13"/>
    <w:rsid w:val="001F2FDB"/>
    <w:rsid w:val="001F33A5"/>
    <w:rsid w:val="001F3B58"/>
    <w:rsid w:val="001F3C17"/>
    <w:rsid w:val="001F423A"/>
    <w:rsid w:val="001F46F8"/>
    <w:rsid w:val="001F529E"/>
    <w:rsid w:val="001F53B5"/>
    <w:rsid w:val="001F5727"/>
    <w:rsid w:val="001F59C1"/>
    <w:rsid w:val="001F650F"/>
    <w:rsid w:val="001F731B"/>
    <w:rsid w:val="001F73D5"/>
    <w:rsid w:val="001F7762"/>
    <w:rsid w:val="001F7EEF"/>
    <w:rsid w:val="002007CE"/>
    <w:rsid w:val="00200D18"/>
    <w:rsid w:val="002012EB"/>
    <w:rsid w:val="0020160B"/>
    <w:rsid w:val="00203F44"/>
    <w:rsid w:val="002041E3"/>
    <w:rsid w:val="002055D2"/>
    <w:rsid w:val="00206A8F"/>
    <w:rsid w:val="00206EAC"/>
    <w:rsid w:val="0020714F"/>
    <w:rsid w:val="00207261"/>
    <w:rsid w:val="002109AA"/>
    <w:rsid w:val="00210E75"/>
    <w:rsid w:val="002110C4"/>
    <w:rsid w:val="00211BDC"/>
    <w:rsid w:val="002128B8"/>
    <w:rsid w:val="00212F90"/>
    <w:rsid w:val="00212F9C"/>
    <w:rsid w:val="002134DC"/>
    <w:rsid w:val="00213607"/>
    <w:rsid w:val="0021371D"/>
    <w:rsid w:val="002140CC"/>
    <w:rsid w:val="00214A8F"/>
    <w:rsid w:val="00214BC4"/>
    <w:rsid w:val="0021512E"/>
    <w:rsid w:val="00217004"/>
    <w:rsid w:val="002176E3"/>
    <w:rsid w:val="00217E57"/>
    <w:rsid w:val="00220014"/>
    <w:rsid w:val="002208BD"/>
    <w:rsid w:val="00220EB2"/>
    <w:rsid w:val="002227D2"/>
    <w:rsid w:val="0022287C"/>
    <w:rsid w:val="002236DD"/>
    <w:rsid w:val="00223831"/>
    <w:rsid w:val="002239C6"/>
    <w:rsid w:val="00223ED6"/>
    <w:rsid w:val="00225114"/>
    <w:rsid w:val="002255BB"/>
    <w:rsid w:val="002255BC"/>
    <w:rsid w:val="0022574F"/>
    <w:rsid w:val="002257D6"/>
    <w:rsid w:val="00225E43"/>
    <w:rsid w:val="002261DB"/>
    <w:rsid w:val="00226C50"/>
    <w:rsid w:val="00227326"/>
    <w:rsid w:val="00227943"/>
    <w:rsid w:val="00227AE0"/>
    <w:rsid w:val="00227DD7"/>
    <w:rsid w:val="002303ED"/>
    <w:rsid w:val="00230C5E"/>
    <w:rsid w:val="002321C1"/>
    <w:rsid w:val="002325F2"/>
    <w:rsid w:val="00232902"/>
    <w:rsid w:val="00232B13"/>
    <w:rsid w:val="002332A9"/>
    <w:rsid w:val="0023345B"/>
    <w:rsid w:val="00233F15"/>
    <w:rsid w:val="00237780"/>
    <w:rsid w:val="00237DA8"/>
    <w:rsid w:val="00240859"/>
    <w:rsid w:val="00241069"/>
    <w:rsid w:val="00241328"/>
    <w:rsid w:val="002418EA"/>
    <w:rsid w:val="00241D1E"/>
    <w:rsid w:val="0024223F"/>
    <w:rsid w:val="00242301"/>
    <w:rsid w:val="00243243"/>
    <w:rsid w:val="0024344C"/>
    <w:rsid w:val="00243FD6"/>
    <w:rsid w:val="002445F1"/>
    <w:rsid w:val="002448A4"/>
    <w:rsid w:val="002471DF"/>
    <w:rsid w:val="00250295"/>
    <w:rsid w:val="002505DC"/>
    <w:rsid w:val="002513CB"/>
    <w:rsid w:val="00251F05"/>
    <w:rsid w:val="00252FEE"/>
    <w:rsid w:val="002532B5"/>
    <w:rsid w:val="00256B13"/>
    <w:rsid w:val="00256D46"/>
    <w:rsid w:val="0025709D"/>
    <w:rsid w:val="00257A2D"/>
    <w:rsid w:val="00257F69"/>
    <w:rsid w:val="00260C0E"/>
    <w:rsid w:val="002618D8"/>
    <w:rsid w:val="00261BFC"/>
    <w:rsid w:val="002620CF"/>
    <w:rsid w:val="002625A5"/>
    <w:rsid w:val="0026303F"/>
    <w:rsid w:val="0026338D"/>
    <w:rsid w:val="0026348F"/>
    <w:rsid w:val="00263750"/>
    <w:rsid w:val="00263770"/>
    <w:rsid w:val="0026394B"/>
    <w:rsid w:val="00263B72"/>
    <w:rsid w:val="00264100"/>
    <w:rsid w:val="0026527C"/>
    <w:rsid w:val="0026574B"/>
    <w:rsid w:val="002660BE"/>
    <w:rsid w:val="00266F89"/>
    <w:rsid w:val="00267D1E"/>
    <w:rsid w:val="00270BC4"/>
    <w:rsid w:val="0027125D"/>
    <w:rsid w:val="00271804"/>
    <w:rsid w:val="00272204"/>
    <w:rsid w:val="002724E4"/>
    <w:rsid w:val="00272F4F"/>
    <w:rsid w:val="00273510"/>
    <w:rsid w:val="002738C9"/>
    <w:rsid w:val="00273AAC"/>
    <w:rsid w:val="00273AAF"/>
    <w:rsid w:val="00274823"/>
    <w:rsid w:val="00275CD6"/>
    <w:rsid w:val="00277D4E"/>
    <w:rsid w:val="002807E8"/>
    <w:rsid w:val="00280DC6"/>
    <w:rsid w:val="00281162"/>
    <w:rsid w:val="002830A8"/>
    <w:rsid w:val="002842D1"/>
    <w:rsid w:val="002847A5"/>
    <w:rsid w:val="002866BC"/>
    <w:rsid w:val="00286728"/>
    <w:rsid w:val="00286CCE"/>
    <w:rsid w:val="00287CA0"/>
    <w:rsid w:val="00290F38"/>
    <w:rsid w:val="00291153"/>
    <w:rsid w:val="00291159"/>
    <w:rsid w:val="002925A6"/>
    <w:rsid w:val="00293672"/>
    <w:rsid w:val="00293AB5"/>
    <w:rsid w:val="002942BE"/>
    <w:rsid w:val="00294F46"/>
    <w:rsid w:val="00294FBF"/>
    <w:rsid w:val="002955A2"/>
    <w:rsid w:val="002965F8"/>
    <w:rsid w:val="00296640"/>
    <w:rsid w:val="002971FD"/>
    <w:rsid w:val="002A09D9"/>
    <w:rsid w:val="002A1681"/>
    <w:rsid w:val="002A1707"/>
    <w:rsid w:val="002A1C6A"/>
    <w:rsid w:val="002A1CD9"/>
    <w:rsid w:val="002A1E94"/>
    <w:rsid w:val="002A1FC9"/>
    <w:rsid w:val="002A2120"/>
    <w:rsid w:val="002A2A49"/>
    <w:rsid w:val="002A3310"/>
    <w:rsid w:val="002A439A"/>
    <w:rsid w:val="002A45AE"/>
    <w:rsid w:val="002A486A"/>
    <w:rsid w:val="002A4A2C"/>
    <w:rsid w:val="002A63F7"/>
    <w:rsid w:val="002B008B"/>
    <w:rsid w:val="002B1BB4"/>
    <w:rsid w:val="002B1F7A"/>
    <w:rsid w:val="002B27C4"/>
    <w:rsid w:val="002B2C25"/>
    <w:rsid w:val="002B385B"/>
    <w:rsid w:val="002B3D36"/>
    <w:rsid w:val="002B3DA8"/>
    <w:rsid w:val="002B52DE"/>
    <w:rsid w:val="002B6C9C"/>
    <w:rsid w:val="002B7870"/>
    <w:rsid w:val="002C05DA"/>
    <w:rsid w:val="002C0AB4"/>
    <w:rsid w:val="002C1745"/>
    <w:rsid w:val="002C28B4"/>
    <w:rsid w:val="002C2B7E"/>
    <w:rsid w:val="002C2C0F"/>
    <w:rsid w:val="002C314E"/>
    <w:rsid w:val="002C364D"/>
    <w:rsid w:val="002C368E"/>
    <w:rsid w:val="002C3921"/>
    <w:rsid w:val="002C41D0"/>
    <w:rsid w:val="002C43D4"/>
    <w:rsid w:val="002C4D36"/>
    <w:rsid w:val="002C5C68"/>
    <w:rsid w:val="002C6E0F"/>
    <w:rsid w:val="002D0C78"/>
    <w:rsid w:val="002D0EDB"/>
    <w:rsid w:val="002D1DEF"/>
    <w:rsid w:val="002D35CD"/>
    <w:rsid w:val="002D4034"/>
    <w:rsid w:val="002D4249"/>
    <w:rsid w:val="002D45A8"/>
    <w:rsid w:val="002D5345"/>
    <w:rsid w:val="002D53FF"/>
    <w:rsid w:val="002D56C3"/>
    <w:rsid w:val="002D5DF5"/>
    <w:rsid w:val="002D6624"/>
    <w:rsid w:val="002D7E4E"/>
    <w:rsid w:val="002E06DD"/>
    <w:rsid w:val="002E1FE8"/>
    <w:rsid w:val="002E29D0"/>
    <w:rsid w:val="002E2B7D"/>
    <w:rsid w:val="002E3A6A"/>
    <w:rsid w:val="002E3E06"/>
    <w:rsid w:val="002E4BCD"/>
    <w:rsid w:val="002E4FE4"/>
    <w:rsid w:val="002E5274"/>
    <w:rsid w:val="002E57B7"/>
    <w:rsid w:val="002E5D7C"/>
    <w:rsid w:val="002E6A05"/>
    <w:rsid w:val="002E6FAF"/>
    <w:rsid w:val="002E7415"/>
    <w:rsid w:val="002F1050"/>
    <w:rsid w:val="002F1418"/>
    <w:rsid w:val="002F1699"/>
    <w:rsid w:val="002F1A1E"/>
    <w:rsid w:val="002F2AF7"/>
    <w:rsid w:val="002F3108"/>
    <w:rsid w:val="002F3C38"/>
    <w:rsid w:val="002F4CB3"/>
    <w:rsid w:val="002F5993"/>
    <w:rsid w:val="002F625C"/>
    <w:rsid w:val="002F626E"/>
    <w:rsid w:val="002F65DA"/>
    <w:rsid w:val="002F775F"/>
    <w:rsid w:val="002F77C8"/>
    <w:rsid w:val="002F77CB"/>
    <w:rsid w:val="00300031"/>
    <w:rsid w:val="00301DEC"/>
    <w:rsid w:val="00302B2F"/>
    <w:rsid w:val="00302BC7"/>
    <w:rsid w:val="003030AC"/>
    <w:rsid w:val="00303967"/>
    <w:rsid w:val="0030460E"/>
    <w:rsid w:val="00304D41"/>
    <w:rsid w:val="00304FE6"/>
    <w:rsid w:val="00306E57"/>
    <w:rsid w:val="0030703C"/>
    <w:rsid w:val="00307436"/>
    <w:rsid w:val="0030799D"/>
    <w:rsid w:val="00310673"/>
    <w:rsid w:val="00310726"/>
    <w:rsid w:val="00311307"/>
    <w:rsid w:val="00312485"/>
    <w:rsid w:val="00313EB2"/>
    <w:rsid w:val="00314677"/>
    <w:rsid w:val="003149A6"/>
    <w:rsid w:val="00314B0F"/>
    <w:rsid w:val="00314E4E"/>
    <w:rsid w:val="00315F1E"/>
    <w:rsid w:val="0031623D"/>
    <w:rsid w:val="00316334"/>
    <w:rsid w:val="003165FD"/>
    <w:rsid w:val="00316720"/>
    <w:rsid w:val="003168DE"/>
    <w:rsid w:val="003203B0"/>
    <w:rsid w:val="0032207D"/>
    <w:rsid w:val="0032269B"/>
    <w:rsid w:val="00322BB3"/>
    <w:rsid w:val="00322EA2"/>
    <w:rsid w:val="00323B94"/>
    <w:rsid w:val="00323DB5"/>
    <w:rsid w:val="003245E2"/>
    <w:rsid w:val="0032461F"/>
    <w:rsid w:val="00324A00"/>
    <w:rsid w:val="00324D9A"/>
    <w:rsid w:val="0032689E"/>
    <w:rsid w:val="00327717"/>
    <w:rsid w:val="00327DC3"/>
    <w:rsid w:val="00327F27"/>
    <w:rsid w:val="003303A8"/>
    <w:rsid w:val="00331501"/>
    <w:rsid w:val="00333498"/>
    <w:rsid w:val="003335AC"/>
    <w:rsid w:val="00334039"/>
    <w:rsid w:val="00334C15"/>
    <w:rsid w:val="00334DE7"/>
    <w:rsid w:val="00335C84"/>
    <w:rsid w:val="00336D7A"/>
    <w:rsid w:val="00337236"/>
    <w:rsid w:val="00337457"/>
    <w:rsid w:val="0033747B"/>
    <w:rsid w:val="003376C8"/>
    <w:rsid w:val="003376D9"/>
    <w:rsid w:val="0034044A"/>
    <w:rsid w:val="0034196A"/>
    <w:rsid w:val="00341A82"/>
    <w:rsid w:val="00341BE0"/>
    <w:rsid w:val="003423FC"/>
    <w:rsid w:val="00342708"/>
    <w:rsid w:val="00342DAB"/>
    <w:rsid w:val="003431CA"/>
    <w:rsid w:val="003441C4"/>
    <w:rsid w:val="003450E6"/>
    <w:rsid w:val="00345E00"/>
    <w:rsid w:val="00346193"/>
    <w:rsid w:val="003466D4"/>
    <w:rsid w:val="0034671A"/>
    <w:rsid w:val="003470EB"/>
    <w:rsid w:val="00347398"/>
    <w:rsid w:val="00347E19"/>
    <w:rsid w:val="00347EDA"/>
    <w:rsid w:val="00350D0A"/>
    <w:rsid w:val="003516D1"/>
    <w:rsid w:val="00351D56"/>
    <w:rsid w:val="00351EF9"/>
    <w:rsid w:val="00352FF5"/>
    <w:rsid w:val="0035361E"/>
    <w:rsid w:val="00354754"/>
    <w:rsid w:val="003555E3"/>
    <w:rsid w:val="00355E61"/>
    <w:rsid w:val="00357033"/>
    <w:rsid w:val="0036097F"/>
    <w:rsid w:val="0036160C"/>
    <w:rsid w:val="0036166D"/>
    <w:rsid w:val="00361918"/>
    <w:rsid w:val="0036246E"/>
    <w:rsid w:val="00362993"/>
    <w:rsid w:val="00362B0A"/>
    <w:rsid w:val="00363EBC"/>
    <w:rsid w:val="003640C0"/>
    <w:rsid w:val="003641E2"/>
    <w:rsid w:val="00364B67"/>
    <w:rsid w:val="003653E7"/>
    <w:rsid w:val="003661E6"/>
    <w:rsid w:val="00366247"/>
    <w:rsid w:val="00367561"/>
    <w:rsid w:val="003703EF"/>
    <w:rsid w:val="003705E7"/>
    <w:rsid w:val="003706BA"/>
    <w:rsid w:val="00370774"/>
    <w:rsid w:val="0037118A"/>
    <w:rsid w:val="00371EC5"/>
    <w:rsid w:val="003726FC"/>
    <w:rsid w:val="00372AFE"/>
    <w:rsid w:val="00372C07"/>
    <w:rsid w:val="0037317C"/>
    <w:rsid w:val="00373424"/>
    <w:rsid w:val="00374081"/>
    <w:rsid w:val="00374629"/>
    <w:rsid w:val="00374916"/>
    <w:rsid w:val="00374A6E"/>
    <w:rsid w:val="00375818"/>
    <w:rsid w:val="00375910"/>
    <w:rsid w:val="00375A87"/>
    <w:rsid w:val="00375B4E"/>
    <w:rsid w:val="00375E00"/>
    <w:rsid w:val="00377D05"/>
    <w:rsid w:val="00377E3C"/>
    <w:rsid w:val="00377F42"/>
    <w:rsid w:val="00380316"/>
    <w:rsid w:val="00381EDF"/>
    <w:rsid w:val="0038302D"/>
    <w:rsid w:val="0038313F"/>
    <w:rsid w:val="00383332"/>
    <w:rsid w:val="00383EE4"/>
    <w:rsid w:val="003847B5"/>
    <w:rsid w:val="00384BA6"/>
    <w:rsid w:val="003861DA"/>
    <w:rsid w:val="00386A9C"/>
    <w:rsid w:val="00386FA7"/>
    <w:rsid w:val="00387CF8"/>
    <w:rsid w:val="003907CD"/>
    <w:rsid w:val="003916E1"/>
    <w:rsid w:val="00391D7F"/>
    <w:rsid w:val="0039245B"/>
    <w:rsid w:val="00392687"/>
    <w:rsid w:val="003937D1"/>
    <w:rsid w:val="00393B48"/>
    <w:rsid w:val="00394C58"/>
    <w:rsid w:val="00394C9E"/>
    <w:rsid w:val="00395C7B"/>
    <w:rsid w:val="00396B1D"/>
    <w:rsid w:val="003A0CE9"/>
    <w:rsid w:val="003A1E89"/>
    <w:rsid w:val="003A2406"/>
    <w:rsid w:val="003A3339"/>
    <w:rsid w:val="003A454E"/>
    <w:rsid w:val="003A5CE4"/>
    <w:rsid w:val="003A5FAF"/>
    <w:rsid w:val="003A6608"/>
    <w:rsid w:val="003A7029"/>
    <w:rsid w:val="003A713A"/>
    <w:rsid w:val="003B13B3"/>
    <w:rsid w:val="003B14F7"/>
    <w:rsid w:val="003B1C0D"/>
    <w:rsid w:val="003B240F"/>
    <w:rsid w:val="003B26B4"/>
    <w:rsid w:val="003B2C00"/>
    <w:rsid w:val="003B3D21"/>
    <w:rsid w:val="003B44D9"/>
    <w:rsid w:val="003B5E83"/>
    <w:rsid w:val="003B73B5"/>
    <w:rsid w:val="003C01BA"/>
    <w:rsid w:val="003C084E"/>
    <w:rsid w:val="003C117E"/>
    <w:rsid w:val="003C165B"/>
    <w:rsid w:val="003C22CA"/>
    <w:rsid w:val="003C4915"/>
    <w:rsid w:val="003C4CC9"/>
    <w:rsid w:val="003C5658"/>
    <w:rsid w:val="003C68AA"/>
    <w:rsid w:val="003C7AF2"/>
    <w:rsid w:val="003C7BC2"/>
    <w:rsid w:val="003C7E1B"/>
    <w:rsid w:val="003D115E"/>
    <w:rsid w:val="003D1406"/>
    <w:rsid w:val="003D14DD"/>
    <w:rsid w:val="003D2C4F"/>
    <w:rsid w:val="003D2D6D"/>
    <w:rsid w:val="003D339A"/>
    <w:rsid w:val="003D41A7"/>
    <w:rsid w:val="003D441C"/>
    <w:rsid w:val="003D462A"/>
    <w:rsid w:val="003D4ABB"/>
    <w:rsid w:val="003D5EE2"/>
    <w:rsid w:val="003D7395"/>
    <w:rsid w:val="003D7412"/>
    <w:rsid w:val="003D7B5A"/>
    <w:rsid w:val="003D7F9D"/>
    <w:rsid w:val="003E013B"/>
    <w:rsid w:val="003E0597"/>
    <w:rsid w:val="003E1754"/>
    <w:rsid w:val="003E1A39"/>
    <w:rsid w:val="003E1A56"/>
    <w:rsid w:val="003E1F26"/>
    <w:rsid w:val="003E323F"/>
    <w:rsid w:val="003E3FB9"/>
    <w:rsid w:val="003E4299"/>
    <w:rsid w:val="003E473D"/>
    <w:rsid w:val="003E4B26"/>
    <w:rsid w:val="003E5A29"/>
    <w:rsid w:val="003E6F86"/>
    <w:rsid w:val="003F005F"/>
    <w:rsid w:val="003F0334"/>
    <w:rsid w:val="003F03DE"/>
    <w:rsid w:val="003F236C"/>
    <w:rsid w:val="003F24B1"/>
    <w:rsid w:val="003F2ADA"/>
    <w:rsid w:val="003F3384"/>
    <w:rsid w:val="003F3ADE"/>
    <w:rsid w:val="003F52E2"/>
    <w:rsid w:val="003F565A"/>
    <w:rsid w:val="003F5E16"/>
    <w:rsid w:val="003F69AE"/>
    <w:rsid w:val="003F6AEA"/>
    <w:rsid w:val="003F6B88"/>
    <w:rsid w:val="003F6FEF"/>
    <w:rsid w:val="0040005B"/>
    <w:rsid w:val="004000EE"/>
    <w:rsid w:val="00400AE5"/>
    <w:rsid w:val="0040133B"/>
    <w:rsid w:val="004015B6"/>
    <w:rsid w:val="00402AB4"/>
    <w:rsid w:val="00403BB7"/>
    <w:rsid w:val="00403D42"/>
    <w:rsid w:val="00404812"/>
    <w:rsid w:val="00404909"/>
    <w:rsid w:val="00404E0F"/>
    <w:rsid w:val="00405832"/>
    <w:rsid w:val="0040621B"/>
    <w:rsid w:val="004066AD"/>
    <w:rsid w:val="00406898"/>
    <w:rsid w:val="004071CF"/>
    <w:rsid w:val="0040749A"/>
    <w:rsid w:val="00407BA8"/>
    <w:rsid w:val="00407DEB"/>
    <w:rsid w:val="00410954"/>
    <w:rsid w:val="00411398"/>
    <w:rsid w:val="0041183D"/>
    <w:rsid w:val="004134BA"/>
    <w:rsid w:val="004155DB"/>
    <w:rsid w:val="00415638"/>
    <w:rsid w:val="0041577A"/>
    <w:rsid w:val="00415AF1"/>
    <w:rsid w:val="00415F40"/>
    <w:rsid w:val="00416209"/>
    <w:rsid w:val="004200F8"/>
    <w:rsid w:val="00421D79"/>
    <w:rsid w:val="004228A0"/>
    <w:rsid w:val="00422A68"/>
    <w:rsid w:val="00423ED0"/>
    <w:rsid w:val="00423F2A"/>
    <w:rsid w:val="00424D00"/>
    <w:rsid w:val="00424F5B"/>
    <w:rsid w:val="004255E6"/>
    <w:rsid w:val="004257EC"/>
    <w:rsid w:val="004258C7"/>
    <w:rsid w:val="0042637F"/>
    <w:rsid w:val="00426744"/>
    <w:rsid w:val="004268F3"/>
    <w:rsid w:val="00427017"/>
    <w:rsid w:val="004309F4"/>
    <w:rsid w:val="00431889"/>
    <w:rsid w:val="004326D1"/>
    <w:rsid w:val="00433B87"/>
    <w:rsid w:val="00433D8F"/>
    <w:rsid w:val="0043415E"/>
    <w:rsid w:val="004344CB"/>
    <w:rsid w:val="00434A5D"/>
    <w:rsid w:val="00435515"/>
    <w:rsid w:val="004357D2"/>
    <w:rsid w:val="00435A64"/>
    <w:rsid w:val="004365B9"/>
    <w:rsid w:val="00440075"/>
    <w:rsid w:val="004406F1"/>
    <w:rsid w:val="00441AD7"/>
    <w:rsid w:val="00441EE7"/>
    <w:rsid w:val="00442EF3"/>
    <w:rsid w:val="0044480F"/>
    <w:rsid w:val="00444DE5"/>
    <w:rsid w:val="004452AB"/>
    <w:rsid w:val="00446945"/>
    <w:rsid w:val="004469DE"/>
    <w:rsid w:val="004472FC"/>
    <w:rsid w:val="00447349"/>
    <w:rsid w:val="00447367"/>
    <w:rsid w:val="004477BD"/>
    <w:rsid w:val="00450862"/>
    <w:rsid w:val="00450BBE"/>
    <w:rsid w:val="00450D95"/>
    <w:rsid w:val="004511BE"/>
    <w:rsid w:val="00451435"/>
    <w:rsid w:val="00451654"/>
    <w:rsid w:val="00451D75"/>
    <w:rsid w:val="004520EB"/>
    <w:rsid w:val="004523F4"/>
    <w:rsid w:val="004526CA"/>
    <w:rsid w:val="004531DF"/>
    <w:rsid w:val="004538CA"/>
    <w:rsid w:val="00453B91"/>
    <w:rsid w:val="00453F7D"/>
    <w:rsid w:val="00454104"/>
    <w:rsid w:val="004541A7"/>
    <w:rsid w:val="004543CE"/>
    <w:rsid w:val="00454743"/>
    <w:rsid w:val="00454A7A"/>
    <w:rsid w:val="00455472"/>
    <w:rsid w:val="004560CC"/>
    <w:rsid w:val="00456993"/>
    <w:rsid w:val="00457473"/>
    <w:rsid w:val="004619C5"/>
    <w:rsid w:val="00461FCB"/>
    <w:rsid w:val="00463698"/>
    <w:rsid w:val="00463B42"/>
    <w:rsid w:val="00464C66"/>
    <w:rsid w:val="00464C91"/>
    <w:rsid w:val="00465627"/>
    <w:rsid w:val="004656AD"/>
    <w:rsid w:val="00465AE1"/>
    <w:rsid w:val="004663ED"/>
    <w:rsid w:val="004663FF"/>
    <w:rsid w:val="00466AC9"/>
    <w:rsid w:val="00466AE1"/>
    <w:rsid w:val="00466B86"/>
    <w:rsid w:val="00466E5A"/>
    <w:rsid w:val="004671C9"/>
    <w:rsid w:val="004672FF"/>
    <w:rsid w:val="004676B5"/>
    <w:rsid w:val="00467798"/>
    <w:rsid w:val="00467D7A"/>
    <w:rsid w:val="00470A73"/>
    <w:rsid w:val="00471486"/>
    <w:rsid w:val="00471A40"/>
    <w:rsid w:val="00471C2D"/>
    <w:rsid w:val="00472608"/>
    <w:rsid w:val="00472981"/>
    <w:rsid w:val="00473FC9"/>
    <w:rsid w:val="004742C4"/>
    <w:rsid w:val="00475AB2"/>
    <w:rsid w:val="00475BC7"/>
    <w:rsid w:val="00475E07"/>
    <w:rsid w:val="004765BE"/>
    <w:rsid w:val="0047679B"/>
    <w:rsid w:val="004768EA"/>
    <w:rsid w:val="00476ED2"/>
    <w:rsid w:val="00477E8D"/>
    <w:rsid w:val="00480E88"/>
    <w:rsid w:val="00480EF2"/>
    <w:rsid w:val="00481428"/>
    <w:rsid w:val="00481946"/>
    <w:rsid w:val="004823F5"/>
    <w:rsid w:val="00482757"/>
    <w:rsid w:val="00483189"/>
    <w:rsid w:val="004837D0"/>
    <w:rsid w:val="00483F2C"/>
    <w:rsid w:val="0048423C"/>
    <w:rsid w:val="00484DB3"/>
    <w:rsid w:val="004860FA"/>
    <w:rsid w:val="0048624C"/>
    <w:rsid w:val="00486F18"/>
    <w:rsid w:val="0049047F"/>
    <w:rsid w:val="004918E2"/>
    <w:rsid w:val="00492752"/>
    <w:rsid w:val="00493722"/>
    <w:rsid w:val="004938A4"/>
    <w:rsid w:val="00494F27"/>
    <w:rsid w:val="0049506A"/>
    <w:rsid w:val="0049535B"/>
    <w:rsid w:val="00495407"/>
    <w:rsid w:val="00495667"/>
    <w:rsid w:val="00496582"/>
    <w:rsid w:val="00496663"/>
    <w:rsid w:val="004A00DF"/>
    <w:rsid w:val="004A016C"/>
    <w:rsid w:val="004A1017"/>
    <w:rsid w:val="004A181C"/>
    <w:rsid w:val="004A1AEB"/>
    <w:rsid w:val="004A1FC2"/>
    <w:rsid w:val="004A2832"/>
    <w:rsid w:val="004A3605"/>
    <w:rsid w:val="004A4388"/>
    <w:rsid w:val="004A4B59"/>
    <w:rsid w:val="004A5217"/>
    <w:rsid w:val="004A53C4"/>
    <w:rsid w:val="004A56E6"/>
    <w:rsid w:val="004A58F1"/>
    <w:rsid w:val="004A58FF"/>
    <w:rsid w:val="004A64AF"/>
    <w:rsid w:val="004A6FCE"/>
    <w:rsid w:val="004A71FD"/>
    <w:rsid w:val="004B02A7"/>
    <w:rsid w:val="004B0EEC"/>
    <w:rsid w:val="004B129B"/>
    <w:rsid w:val="004B129F"/>
    <w:rsid w:val="004B14B1"/>
    <w:rsid w:val="004B16AC"/>
    <w:rsid w:val="004B1DB0"/>
    <w:rsid w:val="004B1F5C"/>
    <w:rsid w:val="004B2390"/>
    <w:rsid w:val="004B2CA2"/>
    <w:rsid w:val="004B396B"/>
    <w:rsid w:val="004B402F"/>
    <w:rsid w:val="004B420E"/>
    <w:rsid w:val="004B4369"/>
    <w:rsid w:val="004B5ABC"/>
    <w:rsid w:val="004B72CE"/>
    <w:rsid w:val="004C125B"/>
    <w:rsid w:val="004C1E08"/>
    <w:rsid w:val="004C2E69"/>
    <w:rsid w:val="004C32B5"/>
    <w:rsid w:val="004C3E2E"/>
    <w:rsid w:val="004C40F7"/>
    <w:rsid w:val="004C554D"/>
    <w:rsid w:val="004C59E6"/>
    <w:rsid w:val="004C5A74"/>
    <w:rsid w:val="004C5FCA"/>
    <w:rsid w:val="004C6993"/>
    <w:rsid w:val="004C69FC"/>
    <w:rsid w:val="004C6E84"/>
    <w:rsid w:val="004C6EF1"/>
    <w:rsid w:val="004C7055"/>
    <w:rsid w:val="004C7C06"/>
    <w:rsid w:val="004D06A0"/>
    <w:rsid w:val="004D0A44"/>
    <w:rsid w:val="004D1099"/>
    <w:rsid w:val="004D2AF3"/>
    <w:rsid w:val="004D32B3"/>
    <w:rsid w:val="004D43DC"/>
    <w:rsid w:val="004D49C0"/>
    <w:rsid w:val="004D5ECC"/>
    <w:rsid w:val="004D60EC"/>
    <w:rsid w:val="004D6789"/>
    <w:rsid w:val="004D6F49"/>
    <w:rsid w:val="004E04D5"/>
    <w:rsid w:val="004E1010"/>
    <w:rsid w:val="004E22D7"/>
    <w:rsid w:val="004E31CC"/>
    <w:rsid w:val="004E31D4"/>
    <w:rsid w:val="004E3CA8"/>
    <w:rsid w:val="004E592B"/>
    <w:rsid w:val="004E599C"/>
    <w:rsid w:val="004E6667"/>
    <w:rsid w:val="004E666E"/>
    <w:rsid w:val="004E7549"/>
    <w:rsid w:val="004F05DD"/>
    <w:rsid w:val="004F2BE2"/>
    <w:rsid w:val="004F48EC"/>
    <w:rsid w:val="004F4A71"/>
    <w:rsid w:val="004F4DAA"/>
    <w:rsid w:val="004F5600"/>
    <w:rsid w:val="004F74A3"/>
    <w:rsid w:val="00500281"/>
    <w:rsid w:val="00500FB0"/>
    <w:rsid w:val="00501075"/>
    <w:rsid w:val="005013AD"/>
    <w:rsid w:val="005020D6"/>
    <w:rsid w:val="0050275D"/>
    <w:rsid w:val="00502D19"/>
    <w:rsid w:val="00502FC9"/>
    <w:rsid w:val="00503531"/>
    <w:rsid w:val="00503AE4"/>
    <w:rsid w:val="00503B4C"/>
    <w:rsid w:val="00503BB8"/>
    <w:rsid w:val="00503E8E"/>
    <w:rsid w:val="00504FE4"/>
    <w:rsid w:val="005068F9"/>
    <w:rsid w:val="00506D2B"/>
    <w:rsid w:val="005073D7"/>
    <w:rsid w:val="00507859"/>
    <w:rsid w:val="00507BAA"/>
    <w:rsid w:val="00507D9B"/>
    <w:rsid w:val="00511117"/>
    <w:rsid w:val="00511FCE"/>
    <w:rsid w:val="00512298"/>
    <w:rsid w:val="00512C49"/>
    <w:rsid w:val="00512F9F"/>
    <w:rsid w:val="00513372"/>
    <w:rsid w:val="00514F0F"/>
    <w:rsid w:val="00517DD5"/>
    <w:rsid w:val="005207F1"/>
    <w:rsid w:val="00521924"/>
    <w:rsid w:val="00524386"/>
    <w:rsid w:val="00524DF8"/>
    <w:rsid w:val="005255A8"/>
    <w:rsid w:val="00531376"/>
    <w:rsid w:val="0053145B"/>
    <w:rsid w:val="005317EB"/>
    <w:rsid w:val="00531BAD"/>
    <w:rsid w:val="00531CEA"/>
    <w:rsid w:val="00532CC1"/>
    <w:rsid w:val="00532EDC"/>
    <w:rsid w:val="00533D8D"/>
    <w:rsid w:val="00534518"/>
    <w:rsid w:val="00534581"/>
    <w:rsid w:val="00534E49"/>
    <w:rsid w:val="005356B5"/>
    <w:rsid w:val="00535945"/>
    <w:rsid w:val="00536CE1"/>
    <w:rsid w:val="00537750"/>
    <w:rsid w:val="005407CA"/>
    <w:rsid w:val="0054083D"/>
    <w:rsid w:val="00540A9B"/>
    <w:rsid w:val="00540D8E"/>
    <w:rsid w:val="0054113E"/>
    <w:rsid w:val="00541166"/>
    <w:rsid w:val="005415FE"/>
    <w:rsid w:val="00542D81"/>
    <w:rsid w:val="00543036"/>
    <w:rsid w:val="0054357B"/>
    <w:rsid w:val="005448C9"/>
    <w:rsid w:val="00545708"/>
    <w:rsid w:val="00546618"/>
    <w:rsid w:val="00546F9F"/>
    <w:rsid w:val="00550352"/>
    <w:rsid w:val="00550C57"/>
    <w:rsid w:val="00551A82"/>
    <w:rsid w:val="005520E3"/>
    <w:rsid w:val="00552A4C"/>
    <w:rsid w:val="0055339E"/>
    <w:rsid w:val="0055343C"/>
    <w:rsid w:val="005536E8"/>
    <w:rsid w:val="00554391"/>
    <w:rsid w:val="00554851"/>
    <w:rsid w:val="00554B55"/>
    <w:rsid w:val="00554E19"/>
    <w:rsid w:val="00555531"/>
    <w:rsid w:val="00555532"/>
    <w:rsid w:val="00555DE8"/>
    <w:rsid w:val="00556197"/>
    <w:rsid w:val="005568DA"/>
    <w:rsid w:val="005568FB"/>
    <w:rsid w:val="005577E5"/>
    <w:rsid w:val="0055782F"/>
    <w:rsid w:val="00557888"/>
    <w:rsid w:val="00557FD9"/>
    <w:rsid w:val="0056137E"/>
    <w:rsid w:val="00561B0A"/>
    <w:rsid w:val="00561E61"/>
    <w:rsid w:val="00562BF3"/>
    <w:rsid w:val="00563977"/>
    <w:rsid w:val="00564D08"/>
    <w:rsid w:val="005650D1"/>
    <w:rsid w:val="005653E0"/>
    <w:rsid w:val="00565B0B"/>
    <w:rsid w:val="00565B74"/>
    <w:rsid w:val="00565D36"/>
    <w:rsid w:val="00566A42"/>
    <w:rsid w:val="00566F97"/>
    <w:rsid w:val="005674CF"/>
    <w:rsid w:val="00570CC2"/>
    <w:rsid w:val="005712F5"/>
    <w:rsid w:val="0057171C"/>
    <w:rsid w:val="0057183F"/>
    <w:rsid w:val="00571CF8"/>
    <w:rsid w:val="00572E0C"/>
    <w:rsid w:val="00573145"/>
    <w:rsid w:val="005733FC"/>
    <w:rsid w:val="005738B4"/>
    <w:rsid w:val="0057482C"/>
    <w:rsid w:val="005748D1"/>
    <w:rsid w:val="00575C69"/>
    <w:rsid w:val="00576FD0"/>
    <w:rsid w:val="00577AE7"/>
    <w:rsid w:val="005804EE"/>
    <w:rsid w:val="00580E51"/>
    <w:rsid w:val="00581C62"/>
    <w:rsid w:val="00582F8F"/>
    <w:rsid w:val="00582FD3"/>
    <w:rsid w:val="005832D4"/>
    <w:rsid w:val="0058478D"/>
    <w:rsid w:val="005864CC"/>
    <w:rsid w:val="00586D40"/>
    <w:rsid w:val="005874CF"/>
    <w:rsid w:val="00590A08"/>
    <w:rsid w:val="00591346"/>
    <w:rsid w:val="00591637"/>
    <w:rsid w:val="00592456"/>
    <w:rsid w:val="00592566"/>
    <w:rsid w:val="00593311"/>
    <w:rsid w:val="005937ED"/>
    <w:rsid w:val="00593997"/>
    <w:rsid w:val="00593F94"/>
    <w:rsid w:val="005946E2"/>
    <w:rsid w:val="00594C31"/>
    <w:rsid w:val="00595CC0"/>
    <w:rsid w:val="00596152"/>
    <w:rsid w:val="00596640"/>
    <w:rsid w:val="00597117"/>
    <w:rsid w:val="00597635"/>
    <w:rsid w:val="005A131B"/>
    <w:rsid w:val="005A18FC"/>
    <w:rsid w:val="005A1BCD"/>
    <w:rsid w:val="005A28B9"/>
    <w:rsid w:val="005A481C"/>
    <w:rsid w:val="005A4C01"/>
    <w:rsid w:val="005A544A"/>
    <w:rsid w:val="005A5EDF"/>
    <w:rsid w:val="005A60FB"/>
    <w:rsid w:val="005A65E7"/>
    <w:rsid w:val="005A6912"/>
    <w:rsid w:val="005A719D"/>
    <w:rsid w:val="005A77D8"/>
    <w:rsid w:val="005A7AFA"/>
    <w:rsid w:val="005A7B74"/>
    <w:rsid w:val="005A7D60"/>
    <w:rsid w:val="005B1077"/>
    <w:rsid w:val="005B20D3"/>
    <w:rsid w:val="005B2386"/>
    <w:rsid w:val="005B23CD"/>
    <w:rsid w:val="005B257D"/>
    <w:rsid w:val="005B26C3"/>
    <w:rsid w:val="005B2DDA"/>
    <w:rsid w:val="005B3244"/>
    <w:rsid w:val="005B32A0"/>
    <w:rsid w:val="005B3E64"/>
    <w:rsid w:val="005B5223"/>
    <w:rsid w:val="005B56B2"/>
    <w:rsid w:val="005B57AB"/>
    <w:rsid w:val="005B5D41"/>
    <w:rsid w:val="005B5D77"/>
    <w:rsid w:val="005B63A5"/>
    <w:rsid w:val="005B668F"/>
    <w:rsid w:val="005B68C2"/>
    <w:rsid w:val="005B6C0B"/>
    <w:rsid w:val="005B7948"/>
    <w:rsid w:val="005C09F0"/>
    <w:rsid w:val="005C118A"/>
    <w:rsid w:val="005C20E1"/>
    <w:rsid w:val="005C2CC1"/>
    <w:rsid w:val="005C3763"/>
    <w:rsid w:val="005C4573"/>
    <w:rsid w:val="005C4930"/>
    <w:rsid w:val="005C4ACB"/>
    <w:rsid w:val="005C52B8"/>
    <w:rsid w:val="005C5C28"/>
    <w:rsid w:val="005C5DE4"/>
    <w:rsid w:val="005C5EE5"/>
    <w:rsid w:val="005C698C"/>
    <w:rsid w:val="005C7E2B"/>
    <w:rsid w:val="005D09C5"/>
    <w:rsid w:val="005D0B7E"/>
    <w:rsid w:val="005D1D45"/>
    <w:rsid w:val="005D20B5"/>
    <w:rsid w:val="005D2873"/>
    <w:rsid w:val="005D2BC3"/>
    <w:rsid w:val="005D2C57"/>
    <w:rsid w:val="005D3143"/>
    <w:rsid w:val="005D318B"/>
    <w:rsid w:val="005D3C01"/>
    <w:rsid w:val="005D41E6"/>
    <w:rsid w:val="005D465D"/>
    <w:rsid w:val="005D546C"/>
    <w:rsid w:val="005D65CC"/>
    <w:rsid w:val="005D70C2"/>
    <w:rsid w:val="005D75FF"/>
    <w:rsid w:val="005D76FC"/>
    <w:rsid w:val="005D7E98"/>
    <w:rsid w:val="005E0402"/>
    <w:rsid w:val="005E0C25"/>
    <w:rsid w:val="005E2010"/>
    <w:rsid w:val="005E2CF5"/>
    <w:rsid w:val="005E2F8B"/>
    <w:rsid w:val="005E355E"/>
    <w:rsid w:val="005E3612"/>
    <w:rsid w:val="005E4097"/>
    <w:rsid w:val="005E47A1"/>
    <w:rsid w:val="005E485B"/>
    <w:rsid w:val="005E572B"/>
    <w:rsid w:val="005E63AE"/>
    <w:rsid w:val="005F1083"/>
    <w:rsid w:val="005F171E"/>
    <w:rsid w:val="005F1769"/>
    <w:rsid w:val="005F19FB"/>
    <w:rsid w:val="005F1A72"/>
    <w:rsid w:val="005F3B60"/>
    <w:rsid w:val="005F3DDE"/>
    <w:rsid w:val="005F406B"/>
    <w:rsid w:val="005F4BA2"/>
    <w:rsid w:val="005F4FE8"/>
    <w:rsid w:val="005F5676"/>
    <w:rsid w:val="005F58FF"/>
    <w:rsid w:val="005F5B35"/>
    <w:rsid w:val="005F61A1"/>
    <w:rsid w:val="005F69AB"/>
    <w:rsid w:val="005F7A0A"/>
    <w:rsid w:val="00600368"/>
    <w:rsid w:val="00601286"/>
    <w:rsid w:val="006020F6"/>
    <w:rsid w:val="006028B1"/>
    <w:rsid w:val="00602F01"/>
    <w:rsid w:val="0060467C"/>
    <w:rsid w:val="006050FC"/>
    <w:rsid w:val="0060622C"/>
    <w:rsid w:val="006068FF"/>
    <w:rsid w:val="00607237"/>
    <w:rsid w:val="00610451"/>
    <w:rsid w:val="00610B64"/>
    <w:rsid w:val="00610FF8"/>
    <w:rsid w:val="00611321"/>
    <w:rsid w:val="00611F3A"/>
    <w:rsid w:val="00612816"/>
    <w:rsid w:val="0061293B"/>
    <w:rsid w:val="0061342F"/>
    <w:rsid w:val="006143A7"/>
    <w:rsid w:val="00615213"/>
    <w:rsid w:val="006152C6"/>
    <w:rsid w:val="00615AE2"/>
    <w:rsid w:val="00615F9F"/>
    <w:rsid w:val="00616E6C"/>
    <w:rsid w:val="00616E7F"/>
    <w:rsid w:val="0062143A"/>
    <w:rsid w:val="0062269E"/>
    <w:rsid w:val="00622D9D"/>
    <w:rsid w:val="00625039"/>
    <w:rsid w:val="00625B35"/>
    <w:rsid w:val="00625CEA"/>
    <w:rsid w:val="0062677A"/>
    <w:rsid w:val="00626A80"/>
    <w:rsid w:val="00626F8D"/>
    <w:rsid w:val="00630C29"/>
    <w:rsid w:val="0063127C"/>
    <w:rsid w:val="00631BA7"/>
    <w:rsid w:val="0063244B"/>
    <w:rsid w:val="006327B4"/>
    <w:rsid w:val="00633035"/>
    <w:rsid w:val="006330D1"/>
    <w:rsid w:val="006332BC"/>
    <w:rsid w:val="006337C4"/>
    <w:rsid w:val="00633C79"/>
    <w:rsid w:val="006345BD"/>
    <w:rsid w:val="006351D5"/>
    <w:rsid w:val="0063547B"/>
    <w:rsid w:val="0063681E"/>
    <w:rsid w:val="00636C3B"/>
    <w:rsid w:val="00637AC6"/>
    <w:rsid w:val="00641F6A"/>
    <w:rsid w:val="006428A4"/>
    <w:rsid w:val="006436EB"/>
    <w:rsid w:val="00643B84"/>
    <w:rsid w:val="0064460E"/>
    <w:rsid w:val="00645F44"/>
    <w:rsid w:val="00646F7B"/>
    <w:rsid w:val="0065017E"/>
    <w:rsid w:val="006502B8"/>
    <w:rsid w:val="00650D4B"/>
    <w:rsid w:val="00651779"/>
    <w:rsid w:val="0065189D"/>
    <w:rsid w:val="00652BCB"/>
    <w:rsid w:val="00652E1B"/>
    <w:rsid w:val="00652E71"/>
    <w:rsid w:val="00652F14"/>
    <w:rsid w:val="00654AB6"/>
    <w:rsid w:val="0065705C"/>
    <w:rsid w:val="00657A23"/>
    <w:rsid w:val="00657EC1"/>
    <w:rsid w:val="006618CC"/>
    <w:rsid w:val="00662A57"/>
    <w:rsid w:val="00663126"/>
    <w:rsid w:val="00663574"/>
    <w:rsid w:val="00664227"/>
    <w:rsid w:val="00664C94"/>
    <w:rsid w:val="00665014"/>
    <w:rsid w:val="00665E18"/>
    <w:rsid w:val="006661B7"/>
    <w:rsid w:val="00666290"/>
    <w:rsid w:val="0066680F"/>
    <w:rsid w:val="0066734F"/>
    <w:rsid w:val="00667397"/>
    <w:rsid w:val="006673C7"/>
    <w:rsid w:val="006673FF"/>
    <w:rsid w:val="006677B1"/>
    <w:rsid w:val="00667E98"/>
    <w:rsid w:val="00667F9C"/>
    <w:rsid w:val="00670439"/>
    <w:rsid w:val="00670591"/>
    <w:rsid w:val="0067096A"/>
    <w:rsid w:val="00670F01"/>
    <w:rsid w:val="00671546"/>
    <w:rsid w:val="00671800"/>
    <w:rsid w:val="00672885"/>
    <w:rsid w:val="006736DB"/>
    <w:rsid w:val="006767AD"/>
    <w:rsid w:val="00676CEA"/>
    <w:rsid w:val="00680402"/>
    <w:rsid w:val="0068144C"/>
    <w:rsid w:val="00682B85"/>
    <w:rsid w:val="006830A4"/>
    <w:rsid w:val="006833B2"/>
    <w:rsid w:val="0068431D"/>
    <w:rsid w:val="006847DE"/>
    <w:rsid w:val="00684D31"/>
    <w:rsid w:val="00686899"/>
    <w:rsid w:val="00687ECF"/>
    <w:rsid w:val="00687FB1"/>
    <w:rsid w:val="00690BFA"/>
    <w:rsid w:val="00691612"/>
    <w:rsid w:val="00692161"/>
    <w:rsid w:val="0069235D"/>
    <w:rsid w:val="006925CA"/>
    <w:rsid w:val="0069264B"/>
    <w:rsid w:val="00693A2F"/>
    <w:rsid w:val="00694797"/>
    <w:rsid w:val="0069605A"/>
    <w:rsid w:val="0069700C"/>
    <w:rsid w:val="00697509"/>
    <w:rsid w:val="006A06B6"/>
    <w:rsid w:val="006A123C"/>
    <w:rsid w:val="006A16A8"/>
    <w:rsid w:val="006A1813"/>
    <w:rsid w:val="006A1B1E"/>
    <w:rsid w:val="006A24CD"/>
    <w:rsid w:val="006A30A8"/>
    <w:rsid w:val="006A3994"/>
    <w:rsid w:val="006A3C1B"/>
    <w:rsid w:val="006A46E2"/>
    <w:rsid w:val="006A4790"/>
    <w:rsid w:val="006A4ABC"/>
    <w:rsid w:val="006A5403"/>
    <w:rsid w:val="006A55CE"/>
    <w:rsid w:val="006A5CEC"/>
    <w:rsid w:val="006A60B2"/>
    <w:rsid w:val="006B058C"/>
    <w:rsid w:val="006B08ED"/>
    <w:rsid w:val="006B122F"/>
    <w:rsid w:val="006B1699"/>
    <w:rsid w:val="006B1710"/>
    <w:rsid w:val="006B22D5"/>
    <w:rsid w:val="006B2473"/>
    <w:rsid w:val="006B2A90"/>
    <w:rsid w:val="006B38F4"/>
    <w:rsid w:val="006B39BC"/>
    <w:rsid w:val="006B4583"/>
    <w:rsid w:val="006B4685"/>
    <w:rsid w:val="006B591E"/>
    <w:rsid w:val="006B67C8"/>
    <w:rsid w:val="006B732C"/>
    <w:rsid w:val="006B77C2"/>
    <w:rsid w:val="006C00B0"/>
    <w:rsid w:val="006C0408"/>
    <w:rsid w:val="006C0DC6"/>
    <w:rsid w:val="006C11DD"/>
    <w:rsid w:val="006C1E8E"/>
    <w:rsid w:val="006C2046"/>
    <w:rsid w:val="006C3114"/>
    <w:rsid w:val="006C333C"/>
    <w:rsid w:val="006C407F"/>
    <w:rsid w:val="006C431C"/>
    <w:rsid w:val="006C438F"/>
    <w:rsid w:val="006C499C"/>
    <w:rsid w:val="006C4E04"/>
    <w:rsid w:val="006C4F84"/>
    <w:rsid w:val="006C51B2"/>
    <w:rsid w:val="006C58AE"/>
    <w:rsid w:val="006C6537"/>
    <w:rsid w:val="006C713F"/>
    <w:rsid w:val="006C74CF"/>
    <w:rsid w:val="006C7EB2"/>
    <w:rsid w:val="006D0AE3"/>
    <w:rsid w:val="006D1040"/>
    <w:rsid w:val="006D1B32"/>
    <w:rsid w:val="006D2386"/>
    <w:rsid w:val="006D2818"/>
    <w:rsid w:val="006D327C"/>
    <w:rsid w:val="006D3F8A"/>
    <w:rsid w:val="006D422B"/>
    <w:rsid w:val="006D4526"/>
    <w:rsid w:val="006D4B02"/>
    <w:rsid w:val="006D4F26"/>
    <w:rsid w:val="006D5E08"/>
    <w:rsid w:val="006D6461"/>
    <w:rsid w:val="006D7845"/>
    <w:rsid w:val="006D7A49"/>
    <w:rsid w:val="006D7CCE"/>
    <w:rsid w:val="006D7ED3"/>
    <w:rsid w:val="006E0149"/>
    <w:rsid w:val="006E0D94"/>
    <w:rsid w:val="006E0D96"/>
    <w:rsid w:val="006E102A"/>
    <w:rsid w:val="006E1F13"/>
    <w:rsid w:val="006E2150"/>
    <w:rsid w:val="006E2B99"/>
    <w:rsid w:val="006E2C69"/>
    <w:rsid w:val="006E350F"/>
    <w:rsid w:val="006E3CFE"/>
    <w:rsid w:val="006E4090"/>
    <w:rsid w:val="006E409E"/>
    <w:rsid w:val="006E4641"/>
    <w:rsid w:val="006E676B"/>
    <w:rsid w:val="006E6927"/>
    <w:rsid w:val="006E7558"/>
    <w:rsid w:val="006E77BD"/>
    <w:rsid w:val="006E7A98"/>
    <w:rsid w:val="006E7BA3"/>
    <w:rsid w:val="006F0BB5"/>
    <w:rsid w:val="006F168E"/>
    <w:rsid w:val="006F1DD2"/>
    <w:rsid w:val="006F1DF2"/>
    <w:rsid w:val="006F3750"/>
    <w:rsid w:val="006F37FB"/>
    <w:rsid w:val="006F4C1E"/>
    <w:rsid w:val="006F5818"/>
    <w:rsid w:val="006F5A19"/>
    <w:rsid w:val="006F675A"/>
    <w:rsid w:val="006F67DB"/>
    <w:rsid w:val="006F7019"/>
    <w:rsid w:val="006F7654"/>
    <w:rsid w:val="006F7873"/>
    <w:rsid w:val="00700476"/>
    <w:rsid w:val="007010AE"/>
    <w:rsid w:val="00701183"/>
    <w:rsid w:val="00702D13"/>
    <w:rsid w:val="007046AB"/>
    <w:rsid w:val="00704A4C"/>
    <w:rsid w:val="00704C62"/>
    <w:rsid w:val="007057AE"/>
    <w:rsid w:val="007057C7"/>
    <w:rsid w:val="00705F1F"/>
    <w:rsid w:val="00706369"/>
    <w:rsid w:val="00706872"/>
    <w:rsid w:val="00706B37"/>
    <w:rsid w:val="00706BD4"/>
    <w:rsid w:val="0070706E"/>
    <w:rsid w:val="0070799D"/>
    <w:rsid w:val="00707D27"/>
    <w:rsid w:val="00707D73"/>
    <w:rsid w:val="00710A1F"/>
    <w:rsid w:val="00710E8E"/>
    <w:rsid w:val="00712088"/>
    <w:rsid w:val="00712470"/>
    <w:rsid w:val="00712B2B"/>
    <w:rsid w:val="00712F30"/>
    <w:rsid w:val="00713563"/>
    <w:rsid w:val="007138B8"/>
    <w:rsid w:val="00713F62"/>
    <w:rsid w:val="0071566E"/>
    <w:rsid w:val="00715D04"/>
    <w:rsid w:val="00716A4E"/>
    <w:rsid w:val="0071771A"/>
    <w:rsid w:val="007177F3"/>
    <w:rsid w:val="00720197"/>
    <w:rsid w:val="00721224"/>
    <w:rsid w:val="00721DEF"/>
    <w:rsid w:val="00721E12"/>
    <w:rsid w:val="00722818"/>
    <w:rsid w:val="00722AC7"/>
    <w:rsid w:val="00722BBC"/>
    <w:rsid w:val="00722FA4"/>
    <w:rsid w:val="00723567"/>
    <w:rsid w:val="00723A7A"/>
    <w:rsid w:val="0072434E"/>
    <w:rsid w:val="00724CD1"/>
    <w:rsid w:val="00725F76"/>
    <w:rsid w:val="007266AF"/>
    <w:rsid w:val="00726F4C"/>
    <w:rsid w:val="00727048"/>
    <w:rsid w:val="0072712E"/>
    <w:rsid w:val="007273D7"/>
    <w:rsid w:val="0072740B"/>
    <w:rsid w:val="00730739"/>
    <w:rsid w:val="0073104F"/>
    <w:rsid w:val="00731152"/>
    <w:rsid w:val="00731DC9"/>
    <w:rsid w:val="00732607"/>
    <w:rsid w:val="00732962"/>
    <w:rsid w:val="007331DA"/>
    <w:rsid w:val="00733B05"/>
    <w:rsid w:val="00734BA7"/>
    <w:rsid w:val="00734FA9"/>
    <w:rsid w:val="0073610F"/>
    <w:rsid w:val="007367B2"/>
    <w:rsid w:val="007377CC"/>
    <w:rsid w:val="007415A5"/>
    <w:rsid w:val="00742444"/>
    <w:rsid w:val="00743566"/>
    <w:rsid w:val="0074491C"/>
    <w:rsid w:val="00744C02"/>
    <w:rsid w:val="0074582B"/>
    <w:rsid w:val="007462CA"/>
    <w:rsid w:val="007500DB"/>
    <w:rsid w:val="00750FDD"/>
    <w:rsid w:val="00751869"/>
    <w:rsid w:val="0075232D"/>
    <w:rsid w:val="0075408C"/>
    <w:rsid w:val="00754706"/>
    <w:rsid w:val="0075628D"/>
    <w:rsid w:val="00756505"/>
    <w:rsid w:val="00756613"/>
    <w:rsid w:val="00757047"/>
    <w:rsid w:val="0075789B"/>
    <w:rsid w:val="007614DC"/>
    <w:rsid w:val="00762203"/>
    <w:rsid w:val="00763A07"/>
    <w:rsid w:val="00764F6B"/>
    <w:rsid w:val="0076638D"/>
    <w:rsid w:val="0076729E"/>
    <w:rsid w:val="007673B4"/>
    <w:rsid w:val="00770464"/>
    <w:rsid w:val="0077075D"/>
    <w:rsid w:val="00770C0B"/>
    <w:rsid w:val="00770CEA"/>
    <w:rsid w:val="00770F05"/>
    <w:rsid w:val="007710A2"/>
    <w:rsid w:val="007710CD"/>
    <w:rsid w:val="007712EF"/>
    <w:rsid w:val="007718A1"/>
    <w:rsid w:val="007722EE"/>
    <w:rsid w:val="007725F5"/>
    <w:rsid w:val="00772C65"/>
    <w:rsid w:val="0077439C"/>
    <w:rsid w:val="007746A6"/>
    <w:rsid w:val="00774A44"/>
    <w:rsid w:val="00774E53"/>
    <w:rsid w:val="0077568F"/>
    <w:rsid w:val="0077591F"/>
    <w:rsid w:val="00775EF9"/>
    <w:rsid w:val="0077624A"/>
    <w:rsid w:val="00777922"/>
    <w:rsid w:val="00777C1E"/>
    <w:rsid w:val="00777F4B"/>
    <w:rsid w:val="00780731"/>
    <w:rsid w:val="0078116A"/>
    <w:rsid w:val="00781BD0"/>
    <w:rsid w:val="007820FE"/>
    <w:rsid w:val="00782217"/>
    <w:rsid w:val="0078293D"/>
    <w:rsid w:val="00783940"/>
    <w:rsid w:val="00783FC4"/>
    <w:rsid w:val="007846F9"/>
    <w:rsid w:val="00784A0F"/>
    <w:rsid w:val="00785D9E"/>
    <w:rsid w:val="00785F91"/>
    <w:rsid w:val="007864F9"/>
    <w:rsid w:val="00786E5D"/>
    <w:rsid w:val="00786F4A"/>
    <w:rsid w:val="0078765B"/>
    <w:rsid w:val="0079012D"/>
    <w:rsid w:val="007908C9"/>
    <w:rsid w:val="00790B9B"/>
    <w:rsid w:val="00790D0F"/>
    <w:rsid w:val="00791C90"/>
    <w:rsid w:val="00792914"/>
    <w:rsid w:val="00792FED"/>
    <w:rsid w:val="0079372F"/>
    <w:rsid w:val="00793E96"/>
    <w:rsid w:val="00793EF8"/>
    <w:rsid w:val="00794AD5"/>
    <w:rsid w:val="00794B85"/>
    <w:rsid w:val="00794FB6"/>
    <w:rsid w:val="00795219"/>
    <w:rsid w:val="007964DB"/>
    <w:rsid w:val="00796A6E"/>
    <w:rsid w:val="00797DA9"/>
    <w:rsid w:val="00797E9D"/>
    <w:rsid w:val="007A29A1"/>
    <w:rsid w:val="007A3BFF"/>
    <w:rsid w:val="007A4CE5"/>
    <w:rsid w:val="007A4E2D"/>
    <w:rsid w:val="007A530E"/>
    <w:rsid w:val="007A5AE0"/>
    <w:rsid w:val="007A5D82"/>
    <w:rsid w:val="007A639F"/>
    <w:rsid w:val="007A6D6C"/>
    <w:rsid w:val="007A7F65"/>
    <w:rsid w:val="007B00A7"/>
    <w:rsid w:val="007B0170"/>
    <w:rsid w:val="007B01B7"/>
    <w:rsid w:val="007B0627"/>
    <w:rsid w:val="007B07B3"/>
    <w:rsid w:val="007B0A98"/>
    <w:rsid w:val="007B11C1"/>
    <w:rsid w:val="007B1818"/>
    <w:rsid w:val="007B1E4A"/>
    <w:rsid w:val="007B272C"/>
    <w:rsid w:val="007B2ED3"/>
    <w:rsid w:val="007B319F"/>
    <w:rsid w:val="007B388C"/>
    <w:rsid w:val="007B3C32"/>
    <w:rsid w:val="007B4A4D"/>
    <w:rsid w:val="007B4FD3"/>
    <w:rsid w:val="007B55C7"/>
    <w:rsid w:val="007B5CE9"/>
    <w:rsid w:val="007B5E35"/>
    <w:rsid w:val="007B734C"/>
    <w:rsid w:val="007B796E"/>
    <w:rsid w:val="007C0893"/>
    <w:rsid w:val="007C0B17"/>
    <w:rsid w:val="007C10EC"/>
    <w:rsid w:val="007C1705"/>
    <w:rsid w:val="007C17B2"/>
    <w:rsid w:val="007C1D9A"/>
    <w:rsid w:val="007C324F"/>
    <w:rsid w:val="007C33A0"/>
    <w:rsid w:val="007C3C25"/>
    <w:rsid w:val="007C4455"/>
    <w:rsid w:val="007C4A79"/>
    <w:rsid w:val="007C5DE3"/>
    <w:rsid w:val="007C609C"/>
    <w:rsid w:val="007C6490"/>
    <w:rsid w:val="007C66A0"/>
    <w:rsid w:val="007C6A75"/>
    <w:rsid w:val="007C76F1"/>
    <w:rsid w:val="007D04A6"/>
    <w:rsid w:val="007D0564"/>
    <w:rsid w:val="007D07F7"/>
    <w:rsid w:val="007D0E23"/>
    <w:rsid w:val="007D2050"/>
    <w:rsid w:val="007D2B8C"/>
    <w:rsid w:val="007D3407"/>
    <w:rsid w:val="007D35F6"/>
    <w:rsid w:val="007D3A7D"/>
    <w:rsid w:val="007D3AC4"/>
    <w:rsid w:val="007D49FB"/>
    <w:rsid w:val="007D4C26"/>
    <w:rsid w:val="007D58B7"/>
    <w:rsid w:val="007D590E"/>
    <w:rsid w:val="007D5D86"/>
    <w:rsid w:val="007D636B"/>
    <w:rsid w:val="007D652F"/>
    <w:rsid w:val="007D70FD"/>
    <w:rsid w:val="007D7CB1"/>
    <w:rsid w:val="007E018C"/>
    <w:rsid w:val="007E0929"/>
    <w:rsid w:val="007E09CD"/>
    <w:rsid w:val="007E0B3D"/>
    <w:rsid w:val="007E108D"/>
    <w:rsid w:val="007E1483"/>
    <w:rsid w:val="007E1922"/>
    <w:rsid w:val="007E1D27"/>
    <w:rsid w:val="007E2495"/>
    <w:rsid w:val="007E2551"/>
    <w:rsid w:val="007E284B"/>
    <w:rsid w:val="007E4452"/>
    <w:rsid w:val="007E4DAE"/>
    <w:rsid w:val="007E55BE"/>
    <w:rsid w:val="007E6710"/>
    <w:rsid w:val="007E6D8B"/>
    <w:rsid w:val="007E7288"/>
    <w:rsid w:val="007F14E5"/>
    <w:rsid w:val="007F1BA5"/>
    <w:rsid w:val="007F270B"/>
    <w:rsid w:val="007F273B"/>
    <w:rsid w:val="007F2CD8"/>
    <w:rsid w:val="007F2DED"/>
    <w:rsid w:val="007F3636"/>
    <w:rsid w:val="007F3717"/>
    <w:rsid w:val="007F3AF5"/>
    <w:rsid w:val="007F3FCE"/>
    <w:rsid w:val="007F4552"/>
    <w:rsid w:val="007F4E0A"/>
    <w:rsid w:val="007F4E8B"/>
    <w:rsid w:val="007F4E92"/>
    <w:rsid w:val="007F5A13"/>
    <w:rsid w:val="007F6826"/>
    <w:rsid w:val="007F6E3E"/>
    <w:rsid w:val="008008B0"/>
    <w:rsid w:val="00801006"/>
    <w:rsid w:val="00801687"/>
    <w:rsid w:val="008018C1"/>
    <w:rsid w:val="00801D44"/>
    <w:rsid w:val="00801D9B"/>
    <w:rsid w:val="008021A3"/>
    <w:rsid w:val="008025C8"/>
    <w:rsid w:val="008026B7"/>
    <w:rsid w:val="008027DC"/>
    <w:rsid w:val="0080360E"/>
    <w:rsid w:val="00803795"/>
    <w:rsid w:val="0080465C"/>
    <w:rsid w:val="0080472B"/>
    <w:rsid w:val="00804CD1"/>
    <w:rsid w:val="008053A3"/>
    <w:rsid w:val="00806E57"/>
    <w:rsid w:val="00806F5C"/>
    <w:rsid w:val="00806F70"/>
    <w:rsid w:val="00807014"/>
    <w:rsid w:val="00810B06"/>
    <w:rsid w:val="00811270"/>
    <w:rsid w:val="00811E0D"/>
    <w:rsid w:val="008126D0"/>
    <w:rsid w:val="008128EE"/>
    <w:rsid w:val="00813E28"/>
    <w:rsid w:val="00814327"/>
    <w:rsid w:val="00815B98"/>
    <w:rsid w:val="00815F94"/>
    <w:rsid w:val="0081651E"/>
    <w:rsid w:val="008166F2"/>
    <w:rsid w:val="00816F71"/>
    <w:rsid w:val="00816FC5"/>
    <w:rsid w:val="00817F93"/>
    <w:rsid w:val="008219EF"/>
    <w:rsid w:val="008223FD"/>
    <w:rsid w:val="00822918"/>
    <w:rsid w:val="00823405"/>
    <w:rsid w:val="00824ABB"/>
    <w:rsid w:val="00824D54"/>
    <w:rsid w:val="00824F2E"/>
    <w:rsid w:val="00825B9D"/>
    <w:rsid w:val="0082646F"/>
    <w:rsid w:val="008270FB"/>
    <w:rsid w:val="00827212"/>
    <w:rsid w:val="00830B08"/>
    <w:rsid w:val="00831756"/>
    <w:rsid w:val="0083181D"/>
    <w:rsid w:val="00831CB1"/>
    <w:rsid w:val="008320A3"/>
    <w:rsid w:val="008326D0"/>
    <w:rsid w:val="00832FA9"/>
    <w:rsid w:val="0083333A"/>
    <w:rsid w:val="00833367"/>
    <w:rsid w:val="00834051"/>
    <w:rsid w:val="00834ED0"/>
    <w:rsid w:val="0083697D"/>
    <w:rsid w:val="00836A18"/>
    <w:rsid w:val="00836A6F"/>
    <w:rsid w:val="00837B7F"/>
    <w:rsid w:val="008407AC"/>
    <w:rsid w:val="00841FBF"/>
    <w:rsid w:val="00842E76"/>
    <w:rsid w:val="0084316B"/>
    <w:rsid w:val="00843608"/>
    <w:rsid w:val="008436E5"/>
    <w:rsid w:val="008444C5"/>
    <w:rsid w:val="00845439"/>
    <w:rsid w:val="008464B2"/>
    <w:rsid w:val="00846755"/>
    <w:rsid w:val="0084680A"/>
    <w:rsid w:val="00846A38"/>
    <w:rsid w:val="00847C67"/>
    <w:rsid w:val="008503C8"/>
    <w:rsid w:val="00850907"/>
    <w:rsid w:val="00850F55"/>
    <w:rsid w:val="00851375"/>
    <w:rsid w:val="008514BE"/>
    <w:rsid w:val="008517E4"/>
    <w:rsid w:val="00851F63"/>
    <w:rsid w:val="008523EC"/>
    <w:rsid w:val="008529C8"/>
    <w:rsid w:val="008530E8"/>
    <w:rsid w:val="00853642"/>
    <w:rsid w:val="0085383F"/>
    <w:rsid w:val="00853D85"/>
    <w:rsid w:val="00854683"/>
    <w:rsid w:val="008558BD"/>
    <w:rsid w:val="00856120"/>
    <w:rsid w:val="00856780"/>
    <w:rsid w:val="00856AAD"/>
    <w:rsid w:val="00860171"/>
    <w:rsid w:val="0086068D"/>
    <w:rsid w:val="0086096D"/>
    <w:rsid w:val="00860B30"/>
    <w:rsid w:val="00861F2A"/>
    <w:rsid w:val="0086226B"/>
    <w:rsid w:val="00863BD5"/>
    <w:rsid w:val="00864802"/>
    <w:rsid w:val="008657C8"/>
    <w:rsid w:val="00865B05"/>
    <w:rsid w:val="00865E48"/>
    <w:rsid w:val="0086697F"/>
    <w:rsid w:val="00866FEA"/>
    <w:rsid w:val="008673E8"/>
    <w:rsid w:val="00867869"/>
    <w:rsid w:val="0087019C"/>
    <w:rsid w:val="008712C9"/>
    <w:rsid w:val="00871464"/>
    <w:rsid w:val="0087149E"/>
    <w:rsid w:val="00871D7F"/>
    <w:rsid w:val="00871E93"/>
    <w:rsid w:val="00871FA1"/>
    <w:rsid w:val="008720BA"/>
    <w:rsid w:val="008727C8"/>
    <w:rsid w:val="0087285D"/>
    <w:rsid w:val="00873B13"/>
    <w:rsid w:val="008742DF"/>
    <w:rsid w:val="008742FA"/>
    <w:rsid w:val="00874E68"/>
    <w:rsid w:val="00875632"/>
    <w:rsid w:val="00875C83"/>
    <w:rsid w:val="008760CD"/>
    <w:rsid w:val="00876724"/>
    <w:rsid w:val="00876AD0"/>
    <w:rsid w:val="00876DDC"/>
    <w:rsid w:val="00876E17"/>
    <w:rsid w:val="008772D3"/>
    <w:rsid w:val="00877409"/>
    <w:rsid w:val="00877A78"/>
    <w:rsid w:val="008804F7"/>
    <w:rsid w:val="00880524"/>
    <w:rsid w:val="00880774"/>
    <w:rsid w:val="00880B3A"/>
    <w:rsid w:val="00880DA7"/>
    <w:rsid w:val="00880F3F"/>
    <w:rsid w:val="00881497"/>
    <w:rsid w:val="00881666"/>
    <w:rsid w:val="0088182C"/>
    <w:rsid w:val="00884658"/>
    <w:rsid w:val="00884C8F"/>
    <w:rsid w:val="00884D0E"/>
    <w:rsid w:val="00885ADF"/>
    <w:rsid w:val="00885D11"/>
    <w:rsid w:val="008864D2"/>
    <w:rsid w:val="00887969"/>
    <w:rsid w:val="00887E9D"/>
    <w:rsid w:val="008910C7"/>
    <w:rsid w:val="00891287"/>
    <w:rsid w:val="0089185A"/>
    <w:rsid w:val="00891BAA"/>
    <w:rsid w:val="00891E4D"/>
    <w:rsid w:val="0089247E"/>
    <w:rsid w:val="00892F6D"/>
    <w:rsid w:val="00893E10"/>
    <w:rsid w:val="0089693A"/>
    <w:rsid w:val="00897F6D"/>
    <w:rsid w:val="008A0D08"/>
    <w:rsid w:val="008A1561"/>
    <w:rsid w:val="008A1BFB"/>
    <w:rsid w:val="008A1D0F"/>
    <w:rsid w:val="008A1F70"/>
    <w:rsid w:val="008A2C94"/>
    <w:rsid w:val="008A33B7"/>
    <w:rsid w:val="008A4850"/>
    <w:rsid w:val="008A4EFC"/>
    <w:rsid w:val="008A544E"/>
    <w:rsid w:val="008A5766"/>
    <w:rsid w:val="008A5781"/>
    <w:rsid w:val="008A5798"/>
    <w:rsid w:val="008A6E0E"/>
    <w:rsid w:val="008A7284"/>
    <w:rsid w:val="008A76CF"/>
    <w:rsid w:val="008A7C72"/>
    <w:rsid w:val="008B1412"/>
    <w:rsid w:val="008B1DA8"/>
    <w:rsid w:val="008B2C37"/>
    <w:rsid w:val="008B3046"/>
    <w:rsid w:val="008B30A2"/>
    <w:rsid w:val="008B340C"/>
    <w:rsid w:val="008B3B86"/>
    <w:rsid w:val="008B3C1C"/>
    <w:rsid w:val="008B3DF1"/>
    <w:rsid w:val="008B3F4A"/>
    <w:rsid w:val="008B483E"/>
    <w:rsid w:val="008B53D3"/>
    <w:rsid w:val="008B60BC"/>
    <w:rsid w:val="008B637B"/>
    <w:rsid w:val="008B6562"/>
    <w:rsid w:val="008B726A"/>
    <w:rsid w:val="008C0D3E"/>
    <w:rsid w:val="008C15C3"/>
    <w:rsid w:val="008C1EDA"/>
    <w:rsid w:val="008C2B97"/>
    <w:rsid w:val="008C2BBA"/>
    <w:rsid w:val="008C31DC"/>
    <w:rsid w:val="008C3C11"/>
    <w:rsid w:val="008C4134"/>
    <w:rsid w:val="008C41BC"/>
    <w:rsid w:val="008C5B58"/>
    <w:rsid w:val="008C5BED"/>
    <w:rsid w:val="008C5C9D"/>
    <w:rsid w:val="008C6A8A"/>
    <w:rsid w:val="008C6C88"/>
    <w:rsid w:val="008C701E"/>
    <w:rsid w:val="008C74D2"/>
    <w:rsid w:val="008C75DA"/>
    <w:rsid w:val="008D19E3"/>
    <w:rsid w:val="008D2D0A"/>
    <w:rsid w:val="008D3E60"/>
    <w:rsid w:val="008D4080"/>
    <w:rsid w:val="008D6203"/>
    <w:rsid w:val="008D6FB7"/>
    <w:rsid w:val="008E03CF"/>
    <w:rsid w:val="008E057B"/>
    <w:rsid w:val="008E07C7"/>
    <w:rsid w:val="008E1E56"/>
    <w:rsid w:val="008E1FC8"/>
    <w:rsid w:val="008E3ED4"/>
    <w:rsid w:val="008E4058"/>
    <w:rsid w:val="008E58C2"/>
    <w:rsid w:val="008E65DA"/>
    <w:rsid w:val="008E6A97"/>
    <w:rsid w:val="008E780E"/>
    <w:rsid w:val="008E7CF3"/>
    <w:rsid w:val="008E7EC4"/>
    <w:rsid w:val="008E7F9E"/>
    <w:rsid w:val="008F059A"/>
    <w:rsid w:val="008F0CE0"/>
    <w:rsid w:val="008F12CA"/>
    <w:rsid w:val="008F1875"/>
    <w:rsid w:val="008F1A2F"/>
    <w:rsid w:val="008F3074"/>
    <w:rsid w:val="008F311D"/>
    <w:rsid w:val="008F3505"/>
    <w:rsid w:val="008F4315"/>
    <w:rsid w:val="008F4BFC"/>
    <w:rsid w:val="008F4D43"/>
    <w:rsid w:val="008F5D69"/>
    <w:rsid w:val="008F61A9"/>
    <w:rsid w:val="008F6D8A"/>
    <w:rsid w:val="008F72D8"/>
    <w:rsid w:val="008F77D1"/>
    <w:rsid w:val="00900814"/>
    <w:rsid w:val="009015AD"/>
    <w:rsid w:val="00901C39"/>
    <w:rsid w:val="0090222A"/>
    <w:rsid w:val="00903ECB"/>
    <w:rsid w:val="00903F84"/>
    <w:rsid w:val="00905B70"/>
    <w:rsid w:val="00906783"/>
    <w:rsid w:val="00906E24"/>
    <w:rsid w:val="00907243"/>
    <w:rsid w:val="00907674"/>
    <w:rsid w:val="00907C68"/>
    <w:rsid w:val="00910391"/>
    <w:rsid w:val="00910D68"/>
    <w:rsid w:val="00910EB2"/>
    <w:rsid w:val="00911ABD"/>
    <w:rsid w:val="00912821"/>
    <w:rsid w:val="00912D58"/>
    <w:rsid w:val="009134FA"/>
    <w:rsid w:val="00913550"/>
    <w:rsid w:val="00913C0F"/>
    <w:rsid w:val="009155A5"/>
    <w:rsid w:val="00915E13"/>
    <w:rsid w:val="009165B5"/>
    <w:rsid w:val="0091661C"/>
    <w:rsid w:val="00916BD9"/>
    <w:rsid w:val="00916F8D"/>
    <w:rsid w:val="00917DD8"/>
    <w:rsid w:val="009204A4"/>
    <w:rsid w:val="00920694"/>
    <w:rsid w:val="009214B0"/>
    <w:rsid w:val="00921FFA"/>
    <w:rsid w:val="00922538"/>
    <w:rsid w:val="009225F4"/>
    <w:rsid w:val="0092289D"/>
    <w:rsid w:val="00922B20"/>
    <w:rsid w:val="00923086"/>
    <w:rsid w:val="00924653"/>
    <w:rsid w:val="00924F60"/>
    <w:rsid w:val="00924F73"/>
    <w:rsid w:val="009250D2"/>
    <w:rsid w:val="009262F2"/>
    <w:rsid w:val="00926640"/>
    <w:rsid w:val="009267AE"/>
    <w:rsid w:val="00926A2F"/>
    <w:rsid w:val="00927B4B"/>
    <w:rsid w:val="0093044F"/>
    <w:rsid w:val="00930460"/>
    <w:rsid w:val="009309CC"/>
    <w:rsid w:val="0093109E"/>
    <w:rsid w:val="00931D55"/>
    <w:rsid w:val="00932E43"/>
    <w:rsid w:val="00933013"/>
    <w:rsid w:val="00933262"/>
    <w:rsid w:val="009343FC"/>
    <w:rsid w:val="00934A4F"/>
    <w:rsid w:val="009352F4"/>
    <w:rsid w:val="00935BC8"/>
    <w:rsid w:val="00936D0A"/>
    <w:rsid w:val="00937707"/>
    <w:rsid w:val="009413DC"/>
    <w:rsid w:val="00941AAE"/>
    <w:rsid w:val="00941D16"/>
    <w:rsid w:val="00941EB5"/>
    <w:rsid w:val="00943296"/>
    <w:rsid w:val="009435B6"/>
    <w:rsid w:val="0094366D"/>
    <w:rsid w:val="00943A0C"/>
    <w:rsid w:val="0094457C"/>
    <w:rsid w:val="00945602"/>
    <w:rsid w:val="00945DC2"/>
    <w:rsid w:val="0094717B"/>
    <w:rsid w:val="0094795F"/>
    <w:rsid w:val="00950907"/>
    <w:rsid w:val="00951677"/>
    <w:rsid w:val="0095229A"/>
    <w:rsid w:val="00954017"/>
    <w:rsid w:val="0095446D"/>
    <w:rsid w:val="00954A1E"/>
    <w:rsid w:val="00955092"/>
    <w:rsid w:val="009559AD"/>
    <w:rsid w:val="00955C99"/>
    <w:rsid w:val="00957A59"/>
    <w:rsid w:val="00957C6F"/>
    <w:rsid w:val="00957D92"/>
    <w:rsid w:val="00962039"/>
    <w:rsid w:val="0096209D"/>
    <w:rsid w:val="00962C76"/>
    <w:rsid w:val="00964036"/>
    <w:rsid w:val="0096449E"/>
    <w:rsid w:val="00965383"/>
    <w:rsid w:val="0096586A"/>
    <w:rsid w:val="009658B7"/>
    <w:rsid w:val="009664BD"/>
    <w:rsid w:val="00966FCD"/>
    <w:rsid w:val="0096703C"/>
    <w:rsid w:val="00967493"/>
    <w:rsid w:val="00970131"/>
    <w:rsid w:val="00970C0D"/>
    <w:rsid w:val="00971317"/>
    <w:rsid w:val="00973860"/>
    <w:rsid w:val="009747BC"/>
    <w:rsid w:val="00974E44"/>
    <w:rsid w:val="00974F2A"/>
    <w:rsid w:val="00975D43"/>
    <w:rsid w:val="009774FB"/>
    <w:rsid w:val="00977701"/>
    <w:rsid w:val="00980899"/>
    <w:rsid w:val="00980AE0"/>
    <w:rsid w:val="0098112C"/>
    <w:rsid w:val="0098298B"/>
    <w:rsid w:val="00982E74"/>
    <w:rsid w:val="009857AA"/>
    <w:rsid w:val="00985ACB"/>
    <w:rsid w:val="0098607C"/>
    <w:rsid w:val="00986D1E"/>
    <w:rsid w:val="00987A24"/>
    <w:rsid w:val="00987AE0"/>
    <w:rsid w:val="00990D8F"/>
    <w:rsid w:val="0099148A"/>
    <w:rsid w:val="00993411"/>
    <w:rsid w:val="009938F1"/>
    <w:rsid w:val="009940E4"/>
    <w:rsid w:val="009945A0"/>
    <w:rsid w:val="00994A4D"/>
    <w:rsid w:val="00994BB1"/>
    <w:rsid w:val="00995730"/>
    <w:rsid w:val="00995EA8"/>
    <w:rsid w:val="0099647D"/>
    <w:rsid w:val="009966AC"/>
    <w:rsid w:val="00997999"/>
    <w:rsid w:val="00997E3C"/>
    <w:rsid w:val="009A064E"/>
    <w:rsid w:val="009A159C"/>
    <w:rsid w:val="009A296E"/>
    <w:rsid w:val="009A2E96"/>
    <w:rsid w:val="009A4048"/>
    <w:rsid w:val="009A40BC"/>
    <w:rsid w:val="009A4504"/>
    <w:rsid w:val="009A522C"/>
    <w:rsid w:val="009B01EC"/>
    <w:rsid w:val="009B03FD"/>
    <w:rsid w:val="009B221E"/>
    <w:rsid w:val="009B346F"/>
    <w:rsid w:val="009B374D"/>
    <w:rsid w:val="009B4FEC"/>
    <w:rsid w:val="009B5E46"/>
    <w:rsid w:val="009B5FD2"/>
    <w:rsid w:val="009B686E"/>
    <w:rsid w:val="009B6994"/>
    <w:rsid w:val="009B6A13"/>
    <w:rsid w:val="009B6E82"/>
    <w:rsid w:val="009B7702"/>
    <w:rsid w:val="009C00E2"/>
    <w:rsid w:val="009C030C"/>
    <w:rsid w:val="009C10B9"/>
    <w:rsid w:val="009C1120"/>
    <w:rsid w:val="009C15B3"/>
    <w:rsid w:val="009C1815"/>
    <w:rsid w:val="009C193C"/>
    <w:rsid w:val="009C2D6A"/>
    <w:rsid w:val="009C35C1"/>
    <w:rsid w:val="009C3B97"/>
    <w:rsid w:val="009C3E6F"/>
    <w:rsid w:val="009C40DC"/>
    <w:rsid w:val="009C4E3A"/>
    <w:rsid w:val="009C504C"/>
    <w:rsid w:val="009C5546"/>
    <w:rsid w:val="009C6248"/>
    <w:rsid w:val="009C6493"/>
    <w:rsid w:val="009C6DEA"/>
    <w:rsid w:val="009C719C"/>
    <w:rsid w:val="009C722D"/>
    <w:rsid w:val="009C7D02"/>
    <w:rsid w:val="009C7DB1"/>
    <w:rsid w:val="009C7EC7"/>
    <w:rsid w:val="009D0422"/>
    <w:rsid w:val="009D0749"/>
    <w:rsid w:val="009D0950"/>
    <w:rsid w:val="009D09FF"/>
    <w:rsid w:val="009D1269"/>
    <w:rsid w:val="009D1570"/>
    <w:rsid w:val="009D15E5"/>
    <w:rsid w:val="009D2683"/>
    <w:rsid w:val="009D38D5"/>
    <w:rsid w:val="009D5C09"/>
    <w:rsid w:val="009D5E0C"/>
    <w:rsid w:val="009D61D6"/>
    <w:rsid w:val="009D62F3"/>
    <w:rsid w:val="009D675A"/>
    <w:rsid w:val="009D685E"/>
    <w:rsid w:val="009D7098"/>
    <w:rsid w:val="009D70E7"/>
    <w:rsid w:val="009D78CC"/>
    <w:rsid w:val="009E034B"/>
    <w:rsid w:val="009E074C"/>
    <w:rsid w:val="009E1386"/>
    <w:rsid w:val="009E23D7"/>
    <w:rsid w:val="009E39FD"/>
    <w:rsid w:val="009E3C41"/>
    <w:rsid w:val="009E475D"/>
    <w:rsid w:val="009E7C0D"/>
    <w:rsid w:val="009E7FDC"/>
    <w:rsid w:val="009F00ED"/>
    <w:rsid w:val="009F013A"/>
    <w:rsid w:val="009F09D2"/>
    <w:rsid w:val="009F0B55"/>
    <w:rsid w:val="009F0C11"/>
    <w:rsid w:val="009F117E"/>
    <w:rsid w:val="009F13A6"/>
    <w:rsid w:val="009F1F36"/>
    <w:rsid w:val="009F2A54"/>
    <w:rsid w:val="009F2BF4"/>
    <w:rsid w:val="009F3143"/>
    <w:rsid w:val="009F32A9"/>
    <w:rsid w:val="009F4BDB"/>
    <w:rsid w:val="009F62FA"/>
    <w:rsid w:val="009F6E45"/>
    <w:rsid w:val="009F70EE"/>
    <w:rsid w:val="009F76B0"/>
    <w:rsid w:val="00A004B2"/>
    <w:rsid w:val="00A00509"/>
    <w:rsid w:val="00A0085B"/>
    <w:rsid w:val="00A018E2"/>
    <w:rsid w:val="00A01C40"/>
    <w:rsid w:val="00A02831"/>
    <w:rsid w:val="00A02A5C"/>
    <w:rsid w:val="00A03988"/>
    <w:rsid w:val="00A0444A"/>
    <w:rsid w:val="00A04D3A"/>
    <w:rsid w:val="00A051FB"/>
    <w:rsid w:val="00A0663E"/>
    <w:rsid w:val="00A0717F"/>
    <w:rsid w:val="00A07754"/>
    <w:rsid w:val="00A07939"/>
    <w:rsid w:val="00A079B4"/>
    <w:rsid w:val="00A1034A"/>
    <w:rsid w:val="00A10651"/>
    <w:rsid w:val="00A107AA"/>
    <w:rsid w:val="00A10AB2"/>
    <w:rsid w:val="00A1171D"/>
    <w:rsid w:val="00A11AE9"/>
    <w:rsid w:val="00A11DC9"/>
    <w:rsid w:val="00A125F1"/>
    <w:rsid w:val="00A129E4"/>
    <w:rsid w:val="00A12B00"/>
    <w:rsid w:val="00A13316"/>
    <w:rsid w:val="00A13701"/>
    <w:rsid w:val="00A14801"/>
    <w:rsid w:val="00A17A8A"/>
    <w:rsid w:val="00A17D24"/>
    <w:rsid w:val="00A17ED8"/>
    <w:rsid w:val="00A22D98"/>
    <w:rsid w:val="00A22F33"/>
    <w:rsid w:val="00A236A8"/>
    <w:rsid w:val="00A2502C"/>
    <w:rsid w:val="00A253DC"/>
    <w:rsid w:val="00A256DC"/>
    <w:rsid w:val="00A2611F"/>
    <w:rsid w:val="00A2622A"/>
    <w:rsid w:val="00A279D6"/>
    <w:rsid w:val="00A30080"/>
    <w:rsid w:val="00A305B9"/>
    <w:rsid w:val="00A31256"/>
    <w:rsid w:val="00A342D5"/>
    <w:rsid w:val="00A36289"/>
    <w:rsid w:val="00A36423"/>
    <w:rsid w:val="00A36811"/>
    <w:rsid w:val="00A4079B"/>
    <w:rsid w:val="00A40BEF"/>
    <w:rsid w:val="00A40FFA"/>
    <w:rsid w:val="00A416A4"/>
    <w:rsid w:val="00A428E0"/>
    <w:rsid w:val="00A43756"/>
    <w:rsid w:val="00A43F52"/>
    <w:rsid w:val="00A44303"/>
    <w:rsid w:val="00A44AC5"/>
    <w:rsid w:val="00A45230"/>
    <w:rsid w:val="00A46CC0"/>
    <w:rsid w:val="00A47221"/>
    <w:rsid w:val="00A47295"/>
    <w:rsid w:val="00A47B19"/>
    <w:rsid w:val="00A50059"/>
    <w:rsid w:val="00A51602"/>
    <w:rsid w:val="00A51BC2"/>
    <w:rsid w:val="00A52984"/>
    <w:rsid w:val="00A52E33"/>
    <w:rsid w:val="00A52F39"/>
    <w:rsid w:val="00A530F9"/>
    <w:rsid w:val="00A532E6"/>
    <w:rsid w:val="00A550C5"/>
    <w:rsid w:val="00A55738"/>
    <w:rsid w:val="00A55B1B"/>
    <w:rsid w:val="00A561AA"/>
    <w:rsid w:val="00A561E6"/>
    <w:rsid w:val="00A56CDC"/>
    <w:rsid w:val="00A60208"/>
    <w:rsid w:val="00A6022A"/>
    <w:rsid w:val="00A605D2"/>
    <w:rsid w:val="00A61798"/>
    <w:rsid w:val="00A625AE"/>
    <w:rsid w:val="00A625FF"/>
    <w:rsid w:val="00A628D8"/>
    <w:rsid w:val="00A62ED8"/>
    <w:rsid w:val="00A6379E"/>
    <w:rsid w:val="00A638CF"/>
    <w:rsid w:val="00A63FEF"/>
    <w:rsid w:val="00A64E44"/>
    <w:rsid w:val="00A66B0E"/>
    <w:rsid w:val="00A66EC6"/>
    <w:rsid w:val="00A679A9"/>
    <w:rsid w:val="00A67B1D"/>
    <w:rsid w:val="00A701AA"/>
    <w:rsid w:val="00A70816"/>
    <w:rsid w:val="00A70AD7"/>
    <w:rsid w:val="00A715FD"/>
    <w:rsid w:val="00A718AD"/>
    <w:rsid w:val="00A7253E"/>
    <w:rsid w:val="00A73906"/>
    <w:rsid w:val="00A73D84"/>
    <w:rsid w:val="00A7495D"/>
    <w:rsid w:val="00A74A30"/>
    <w:rsid w:val="00A74A97"/>
    <w:rsid w:val="00A75130"/>
    <w:rsid w:val="00A754D8"/>
    <w:rsid w:val="00A77442"/>
    <w:rsid w:val="00A779A3"/>
    <w:rsid w:val="00A80678"/>
    <w:rsid w:val="00A81831"/>
    <w:rsid w:val="00A823D3"/>
    <w:rsid w:val="00A82491"/>
    <w:rsid w:val="00A82682"/>
    <w:rsid w:val="00A83740"/>
    <w:rsid w:val="00A83FAF"/>
    <w:rsid w:val="00A85A5D"/>
    <w:rsid w:val="00A860ED"/>
    <w:rsid w:val="00A865DC"/>
    <w:rsid w:val="00A86D2F"/>
    <w:rsid w:val="00A86F5E"/>
    <w:rsid w:val="00A87CBE"/>
    <w:rsid w:val="00A905B9"/>
    <w:rsid w:val="00A905D2"/>
    <w:rsid w:val="00A90935"/>
    <w:rsid w:val="00A90EC5"/>
    <w:rsid w:val="00A92086"/>
    <w:rsid w:val="00A924F8"/>
    <w:rsid w:val="00A925B7"/>
    <w:rsid w:val="00A93CE7"/>
    <w:rsid w:val="00A93EBE"/>
    <w:rsid w:val="00A94163"/>
    <w:rsid w:val="00A949F8"/>
    <w:rsid w:val="00A94CB4"/>
    <w:rsid w:val="00A950AE"/>
    <w:rsid w:val="00A95AB3"/>
    <w:rsid w:val="00A96B30"/>
    <w:rsid w:val="00A97BE7"/>
    <w:rsid w:val="00AA0121"/>
    <w:rsid w:val="00AA0505"/>
    <w:rsid w:val="00AA145C"/>
    <w:rsid w:val="00AA1B6D"/>
    <w:rsid w:val="00AA1C38"/>
    <w:rsid w:val="00AA37E8"/>
    <w:rsid w:val="00AA3A76"/>
    <w:rsid w:val="00AA4F52"/>
    <w:rsid w:val="00AA5005"/>
    <w:rsid w:val="00AA6444"/>
    <w:rsid w:val="00AA7347"/>
    <w:rsid w:val="00AA7386"/>
    <w:rsid w:val="00AB188D"/>
    <w:rsid w:val="00AB1A47"/>
    <w:rsid w:val="00AB2338"/>
    <w:rsid w:val="00AB2AFF"/>
    <w:rsid w:val="00AB3048"/>
    <w:rsid w:val="00AB3BF8"/>
    <w:rsid w:val="00AB3EAF"/>
    <w:rsid w:val="00AB407B"/>
    <w:rsid w:val="00AB4DF2"/>
    <w:rsid w:val="00AB4E9A"/>
    <w:rsid w:val="00AB4F13"/>
    <w:rsid w:val="00AB50EC"/>
    <w:rsid w:val="00AB6F26"/>
    <w:rsid w:val="00AC02C0"/>
    <w:rsid w:val="00AC0B56"/>
    <w:rsid w:val="00AC13CA"/>
    <w:rsid w:val="00AC2C80"/>
    <w:rsid w:val="00AC2C8E"/>
    <w:rsid w:val="00AC2DC3"/>
    <w:rsid w:val="00AC4376"/>
    <w:rsid w:val="00AC4759"/>
    <w:rsid w:val="00AC5C65"/>
    <w:rsid w:val="00AC5D18"/>
    <w:rsid w:val="00AC5DA6"/>
    <w:rsid w:val="00AC602C"/>
    <w:rsid w:val="00AC684C"/>
    <w:rsid w:val="00AC6DD0"/>
    <w:rsid w:val="00AC711A"/>
    <w:rsid w:val="00AC72CB"/>
    <w:rsid w:val="00AC7AFC"/>
    <w:rsid w:val="00AC7C4C"/>
    <w:rsid w:val="00AD0976"/>
    <w:rsid w:val="00AD177C"/>
    <w:rsid w:val="00AD1905"/>
    <w:rsid w:val="00AD19AB"/>
    <w:rsid w:val="00AD1AF3"/>
    <w:rsid w:val="00AD34FF"/>
    <w:rsid w:val="00AD3CF8"/>
    <w:rsid w:val="00AD3F11"/>
    <w:rsid w:val="00AD464F"/>
    <w:rsid w:val="00AD5653"/>
    <w:rsid w:val="00AD6E8B"/>
    <w:rsid w:val="00AD73FF"/>
    <w:rsid w:val="00AD7D24"/>
    <w:rsid w:val="00AE096F"/>
    <w:rsid w:val="00AE1768"/>
    <w:rsid w:val="00AE230F"/>
    <w:rsid w:val="00AE2332"/>
    <w:rsid w:val="00AE25CD"/>
    <w:rsid w:val="00AE494D"/>
    <w:rsid w:val="00AE5039"/>
    <w:rsid w:val="00AE5426"/>
    <w:rsid w:val="00AE637B"/>
    <w:rsid w:val="00AE7A6C"/>
    <w:rsid w:val="00AF0C0B"/>
    <w:rsid w:val="00AF0CFC"/>
    <w:rsid w:val="00AF169F"/>
    <w:rsid w:val="00AF1C70"/>
    <w:rsid w:val="00AF23DE"/>
    <w:rsid w:val="00AF33C8"/>
    <w:rsid w:val="00AF3F28"/>
    <w:rsid w:val="00AF4084"/>
    <w:rsid w:val="00AF4B64"/>
    <w:rsid w:val="00AF4F52"/>
    <w:rsid w:val="00AF5B90"/>
    <w:rsid w:val="00AF5FD9"/>
    <w:rsid w:val="00AF649A"/>
    <w:rsid w:val="00AF659C"/>
    <w:rsid w:val="00AF6E3C"/>
    <w:rsid w:val="00B00275"/>
    <w:rsid w:val="00B00FF6"/>
    <w:rsid w:val="00B01DE9"/>
    <w:rsid w:val="00B023B9"/>
    <w:rsid w:val="00B048C0"/>
    <w:rsid w:val="00B05539"/>
    <w:rsid w:val="00B05D39"/>
    <w:rsid w:val="00B06071"/>
    <w:rsid w:val="00B06BE2"/>
    <w:rsid w:val="00B07C00"/>
    <w:rsid w:val="00B102D2"/>
    <w:rsid w:val="00B114A0"/>
    <w:rsid w:val="00B12452"/>
    <w:rsid w:val="00B12B41"/>
    <w:rsid w:val="00B135D9"/>
    <w:rsid w:val="00B14443"/>
    <w:rsid w:val="00B14C3B"/>
    <w:rsid w:val="00B1662D"/>
    <w:rsid w:val="00B17143"/>
    <w:rsid w:val="00B17737"/>
    <w:rsid w:val="00B17B6B"/>
    <w:rsid w:val="00B17C4D"/>
    <w:rsid w:val="00B2057F"/>
    <w:rsid w:val="00B2094E"/>
    <w:rsid w:val="00B21046"/>
    <w:rsid w:val="00B21837"/>
    <w:rsid w:val="00B227E7"/>
    <w:rsid w:val="00B22E86"/>
    <w:rsid w:val="00B24ED4"/>
    <w:rsid w:val="00B25880"/>
    <w:rsid w:val="00B25B39"/>
    <w:rsid w:val="00B25C24"/>
    <w:rsid w:val="00B26A97"/>
    <w:rsid w:val="00B26FC3"/>
    <w:rsid w:val="00B2727D"/>
    <w:rsid w:val="00B273FB"/>
    <w:rsid w:val="00B27FE3"/>
    <w:rsid w:val="00B301B6"/>
    <w:rsid w:val="00B3155C"/>
    <w:rsid w:val="00B32978"/>
    <w:rsid w:val="00B32B78"/>
    <w:rsid w:val="00B338A6"/>
    <w:rsid w:val="00B33EFD"/>
    <w:rsid w:val="00B345AA"/>
    <w:rsid w:val="00B34E5F"/>
    <w:rsid w:val="00B3509A"/>
    <w:rsid w:val="00B35279"/>
    <w:rsid w:val="00B355BD"/>
    <w:rsid w:val="00B35C03"/>
    <w:rsid w:val="00B363AC"/>
    <w:rsid w:val="00B36820"/>
    <w:rsid w:val="00B370B6"/>
    <w:rsid w:val="00B372C3"/>
    <w:rsid w:val="00B37357"/>
    <w:rsid w:val="00B37619"/>
    <w:rsid w:val="00B40811"/>
    <w:rsid w:val="00B42E9B"/>
    <w:rsid w:val="00B43012"/>
    <w:rsid w:val="00B43063"/>
    <w:rsid w:val="00B43650"/>
    <w:rsid w:val="00B43BBD"/>
    <w:rsid w:val="00B44168"/>
    <w:rsid w:val="00B441DD"/>
    <w:rsid w:val="00B44D20"/>
    <w:rsid w:val="00B45097"/>
    <w:rsid w:val="00B45243"/>
    <w:rsid w:val="00B459E0"/>
    <w:rsid w:val="00B467AD"/>
    <w:rsid w:val="00B474FB"/>
    <w:rsid w:val="00B477BE"/>
    <w:rsid w:val="00B47FE3"/>
    <w:rsid w:val="00B51EDC"/>
    <w:rsid w:val="00B525C0"/>
    <w:rsid w:val="00B5263E"/>
    <w:rsid w:val="00B529C2"/>
    <w:rsid w:val="00B52FA4"/>
    <w:rsid w:val="00B53F85"/>
    <w:rsid w:val="00B5409F"/>
    <w:rsid w:val="00B54538"/>
    <w:rsid w:val="00B547A7"/>
    <w:rsid w:val="00B55177"/>
    <w:rsid w:val="00B5582B"/>
    <w:rsid w:val="00B558A7"/>
    <w:rsid w:val="00B60012"/>
    <w:rsid w:val="00B60C3A"/>
    <w:rsid w:val="00B61EF7"/>
    <w:rsid w:val="00B61F38"/>
    <w:rsid w:val="00B62717"/>
    <w:rsid w:val="00B6299E"/>
    <w:rsid w:val="00B63618"/>
    <w:rsid w:val="00B637B7"/>
    <w:rsid w:val="00B639CB"/>
    <w:rsid w:val="00B63E01"/>
    <w:rsid w:val="00B63E02"/>
    <w:rsid w:val="00B6523E"/>
    <w:rsid w:val="00B6550D"/>
    <w:rsid w:val="00B65FEF"/>
    <w:rsid w:val="00B66371"/>
    <w:rsid w:val="00B668BF"/>
    <w:rsid w:val="00B675CF"/>
    <w:rsid w:val="00B67C55"/>
    <w:rsid w:val="00B67C7D"/>
    <w:rsid w:val="00B70730"/>
    <w:rsid w:val="00B70F92"/>
    <w:rsid w:val="00B71AE4"/>
    <w:rsid w:val="00B71B48"/>
    <w:rsid w:val="00B71C68"/>
    <w:rsid w:val="00B71DF9"/>
    <w:rsid w:val="00B71F9C"/>
    <w:rsid w:val="00B722FB"/>
    <w:rsid w:val="00B724B2"/>
    <w:rsid w:val="00B73003"/>
    <w:rsid w:val="00B73221"/>
    <w:rsid w:val="00B73FE3"/>
    <w:rsid w:val="00B741B1"/>
    <w:rsid w:val="00B7437D"/>
    <w:rsid w:val="00B7446E"/>
    <w:rsid w:val="00B74B31"/>
    <w:rsid w:val="00B7655C"/>
    <w:rsid w:val="00B8089C"/>
    <w:rsid w:val="00B80D78"/>
    <w:rsid w:val="00B81655"/>
    <w:rsid w:val="00B81918"/>
    <w:rsid w:val="00B81E66"/>
    <w:rsid w:val="00B82220"/>
    <w:rsid w:val="00B822D7"/>
    <w:rsid w:val="00B8243C"/>
    <w:rsid w:val="00B83998"/>
    <w:rsid w:val="00B83B34"/>
    <w:rsid w:val="00B8513A"/>
    <w:rsid w:val="00B854E1"/>
    <w:rsid w:val="00B85FE4"/>
    <w:rsid w:val="00B86615"/>
    <w:rsid w:val="00B86C57"/>
    <w:rsid w:val="00B87429"/>
    <w:rsid w:val="00B87F2C"/>
    <w:rsid w:val="00B90164"/>
    <w:rsid w:val="00B9037E"/>
    <w:rsid w:val="00B9064F"/>
    <w:rsid w:val="00B90D0A"/>
    <w:rsid w:val="00B90D50"/>
    <w:rsid w:val="00B910A0"/>
    <w:rsid w:val="00B91CEA"/>
    <w:rsid w:val="00B92EA6"/>
    <w:rsid w:val="00B92EBF"/>
    <w:rsid w:val="00B9317A"/>
    <w:rsid w:val="00B9318B"/>
    <w:rsid w:val="00B94D03"/>
    <w:rsid w:val="00B94E5B"/>
    <w:rsid w:val="00B955B7"/>
    <w:rsid w:val="00B95751"/>
    <w:rsid w:val="00B95F71"/>
    <w:rsid w:val="00B95F86"/>
    <w:rsid w:val="00B96C2F"/>
    <w:rsid w:val="00B96D0A"/>
    <w:rsid w:val="00B96FBC"/>
    <w:rsid w:val="00B96FF5"/>
    <w:rsid w:val="00B97638"/>
    <w:rsid w:val="00B97EB2"/>
    <w:rsid w:val="00B97FDB"/>
    <w:rsid w:val="00BA0039"/>
    <w:rsid w:val="00BA0A47"/>
    <w:rsid w:val="00BA0BB4"/>
    <w:rsid w:val="00BA130F"/>
    <w:rsid w:val="00BA1AE3"/>
    <w:rsid w:val="00BA1F14"/>
    <w:rsid w:val="00BA25B1"/>
    <w:rsid w:val="00BA2C39"/>
    <w:rsid w:val="00BA313A"/>
    <w:rsid w:val="00BA357A"/>
    <w:rsid w:val="00BA3CDA"/>
    <w:rsid w:val="00BA41B3"/>
    <w:rsid w:val="00BA4B7B"/>
    <w:rsid w:val="00BA52D2"/>
    <w:rsid w:val="00BA5F65"/>
    <w:rsid w:val="00BA6901"/>
    <w:rsid w:val="00BA6E8A"/>
    <w:rsid w:val="00BA720E"/>
    <w:rsid w:val="00BA740F"/>
    <w:rsid w:val="00BA7646"/>
    <w:rsid w:val="00BB0BC9"/>
    <w:rsid w:val="00BB0EDB"/>
    <w:rsid w:val="00BB145B"/>
    <w:rsid w:val="00BB15D3"/>
    <w:rsid w:val="00BB185D"/>
    <w:rsid w:val="00BB1CF3"/>
    <w:rsid w:val="00BB23A3"/>
    <w:rsid w:val="00BB31C7"/>
    <w:rsid w:val="00BB44C9"/>
    <w:rsid w:val="00BB55ED"/>
    <w:rsid w:val="00BB59AE"/>
    <w:rsid w:val="00BB62EE"/>
    <w:rsid w:val="00BB6487"/>
    <w:rsid w:val="00BB6D5E"/>
    <w:rsid w:val="00BC056B"/>
    <w:rsid w:val="00BC09D8"/>
    <w:rsid w:val="00BC112C"/>
    <w:rsid w:val="00BC1400"/>
    <w:rsid w:val="00BC15F6"/>
    <w:rsid w:val="00BC28B0"/>
    <w:rsid w:val="00BC32E8"/>
    <w:rsid w:val="00BC3466"/>
    <w:rsid w:val="00BC37D9"/>
    <w:rsid w:val="00BC4941"/>
    <w:rsid w:val="00BC4C02"/>
    <w:rsid w:val="00BC5363"/>
    <w:rsid w:val="00BC599A"/>
    <w:rsid w:val="00BC5B3E"/>
    <w:rsid w:val="00BC5C69"/>
    <w:rsid w:val="00BC6D3B"/>
    <w:rsid w:val="00BC6D4B"/>
    <w:rsid w:val="00BC739E"/>
    <w:rsid w:val="00BD1403"/>
    <w:rsid w:val="00BD1673"/>
    <w:rsid w:val="00BD2011"/>
    <w:rsid w:val="00BD2023"/>
    <w:rsid w:val="00BD2205"/>
    <w:rsid w:val="00BD25D3"/>
    <w:rsid w:val="00BD289C"/>
    <w:rsid w:val="00BD3DB1"/>
    <w:rsid w:val="00BD4134"/>
    <w:rsid w:val="00BD42B3"/>
    <w:rsid w:val="00BD5762"/>
    <w:rsid w:val="00BD75C1"/>
    <w:rsid w:val="00BD77A4"/>
    <w:rsid w:val="00BE1807"/>
    <w:rsid w:val="00BE364A"/>
    <w:rsid w:val="00BE4179"/>
    <w:rsid w:val="00BE455D"/>
    <w:rsid w:val="00BE4E1D"/>
    <w:rsid w:val="00BE50E3"/>
    <w:rsid w:val="00BE58F4"/>
    <w:rsid w:val="00BE5E7B"/>
    <w:rsid w:val="00BE7409"/>
    <w:rsid w:val="00BE7B49"/>
    <w:rsid w:val="00BF1786"/>
    <w:rsid w:val="00BF1CA8"/>
    <w:rsid w:val="00BF31B9"/>
    <w:rsid w:val="00BF3237"/>
    <w:rsid w:val="00BF37A2"/>
    <w:rsid w:val="00BF3889"/>
    <w:rsid w:val="00BF488F"/>
    <w:rsid w:val="00BF48BA"/>
    <w:rsid w:val="00BF6570"/>
    <w:rsid w:val="00BF6AB2"/>
    <w:rsid w:val="00BF72AF"/>
    <w:rsid w:val="00BF72FD"/>
    <w:rsid w:val="00BF75F1"/>
    <w:rsid w:val="00C00C74"/>
    <w:rsid w:val="00C00D3D"/>
    <w:rsid w:val="00C00DC1"/>
    <w:rsid w:val="00C01756"/>
    <w:rsid w:val="00C02381"/>
    <w:rsid w:val="00C029D1"/>
    <w:rsid w:val="00C030DB"/>
    <w:rsid w:val="00C03266"/>
    <w:rsid w:val="00C03B56"/>
    <w:rsid w:val="00C03BF6"/>
    <w:rsid w:val="00C0454E"/>
    <w:rsid w:val="00C04873"/>
    <w:rsid w:val="00C0529F"/>
    <w:rsid w:val="00C0563D"/>
    <w:rsid w:val="00C05886"/>
    <w:rsid w:val="00C05AFB"/>
    <w:rsid w:val="00C05FB1"/>
    <w:rsid w:val="00C060BC"/>
    <w:rsid w:val="00C06B04"/>
    <w:rsid w:val="00C073DB"/>
    <w:rsid w:val="00C10822"/>
    <w:rsid w:val="00C109D3"/>
    <w:rsid w:val="00C10AF7"/>
    <w:rsid w:val="00C12100"/>
    <w:rsid w:val="00C1375B"/>
    <w:rsid w:val="00C13FAA"/>
    <w:rsid w:val="00C141D6"/>
    <w:rsid w:val="00C147A3"/>
    <w:rsid w:val="00C14D9E"/>
    <w:rsid w:val="00C15595"/>
    <w:rsid w:val="00C15D87"/>
    <w:rsid w:val="00C16422"/>
    <w:rsid w:val="00C167BC"/>
    <w:rsid w:val="00C20285"/>
    <w:rsid w:val="00C20865"/>
    <w:rsid w:val="00C220A7"/>
    <w:rsid w:val="00C22DA2"/>
    <w:rsid w:val="00C25528"/>
    <w:rsid w:val="00C30034"/>
    <w:rsid w:val="00C305EC"/>
    <w:rsid w:val="00C3104A"/>
    <w:rsid w:val="00C310AA"/>
    <w:rsid w:val="00C317A8"/>
    <w:rsid w:val="00C31A85"/>
    <w:rsid w:val="00C32A16"/>
    <w:rsid w:val="00C32B0F"/>
    <w:rsid w:val="00C32EA0"/>
    <w:rsid w:val="00C34873"/>
    <w:rsid w:val="00C34A81"/>
    <w:rsid w:val="00C34CF9"/>
    <w:rsid w:val="00C37091"/>
    <w:rsid w:val="00C37262"/>
    <w:rsid w:val="00C374A1"/>
    <w:rsid w:val="00C4091A"/>
    <w:rsid w:val="00C42797"/>
    <w:rsid w:val="00C42AC5"/>
    <w:rsid w:val="00C42C85"/>
    <w:rsid w:val="00C42CDB"/>
    <w:rsid w:val="00C4309E"/>
    <w:rsid w:val="00C4354F"/>
    <w:rsid w:val="00C44445"/>
    <w:rsid w:val="00C44460"/>
    <w:rsid w:val="00C46F4A"/>
    <w:rsid w:val="00C470F7"/>
    <w:rsid w:val="00C472FC"/>
    <w:rsid w:val="00C474B4"/>
    <w:rsid w:val="00C475A9"/>
    <w:rsid w:val="00C47A51"/>
    <w:rsid w:val="00C50995"/>
    <w:rsid w:val="00C51273"/>
    <w:rsid w:val="00C51C89"/>
    <w:rsid w:val="00C52CB6"/>
    <w:rsid w:val="00C543F3"/>
    <w:rsid w:val="00C54471"/>
    <w:rsid w:val="00C54B8B"/>
    <w:rsid w:val="00C553EA"/>
    <w:rsid w:val="00C55C24"/>
    <w:rsid w:val="00C56D8B"/>
    <w:rsid w:val="00C57ED7"/>
    <w:rsid w:val="00C60318"/>
    <w:rsid w:val="00C60CC7"/>
    <w:rsid w:val="00C60E2A"/>
    <w:rsid w:val="00C60FEB"/>
    <w:rsid w:val="00C61ED1"/>
    <w:rsid w:val="00C624E6"/>
    <w:rsid w:val="00C63830"/>
    <w:rsid w:val="00C6399F"/>
    <w:rsid w:val="00C640E6"/>
    <w:rsid w:val="00C6618E"/>
    <w:rsid w:val="00C66677"/>
    <w:rsid w:val="00C66C0F"/>
    <w:rsid w:val="00C66CF4"/>
    <w:rsid w:val="00C6750F"/>
    <w:rsid w:val="00C677E6"/>
    <w:rsid w:val="00C679BB"/>
    <w:rsid w:val="00C71AD5"/>
    <w:rsid w:val="00C71B46"/>
    <w:rsid w:val="00C726E9"/>
    <w:rsid w:val="00C72AEC"/>
    <w:rsid w:val="00C72E5D"/>
    <w:rsid w:val="00C7302D"/>
    <w:rsid w:val="00C731D4"/>
    <w:rsid w:val="00C73DBA"/>
    <w:rsid w:val="00C740A9"/>
    <w:rsid w:val="00C74876"/>
    <w:rsid w:val="00C74AF0"/>
    <w:rsid w:val="00C76117"/>
    <w:rsid w:val="00C761B2"/>
    <w:rsid w:val="00C76A3D"/>
    <w:rsid w:val="00C76C6F"/>
    <w:rsid w:val="00C77DC3"/>
    <w:rsid w:val="00C81096"/>
    <w:rsid w:val="00C81207"/>
    <w:rsid w:val="00C84174"/>
    <w:rsid w:val="00C846F6"/>
    <w:rsid w:val="00C84B14"/>
    <w:rsid w:val="00C851C7"/>
    <w:rsid w:val="00C85AD4"/>
    <w:rsid w:val="00C87621"/>
    <w:rsid w:val="00C904F0"/>
    <w:rsid w:val="00C90BA1"/>
    <w:rsid w:val="00C90D3C"/>
    <w:rsid w:val="00C92438"/>
    <w:rsid w:val="00C9326F"/>
    <w:rsid w:val="00C932DA"/>
    <w:rsid w:val="00C9367F"/>
    <w:rsid w:val="00C94CFF"/>
    <w:rsid w:val="00C956A0"/>
    <w:rsid w:val="00C958C0"/>
    <w:rsid w:val="00C959EE"/>
    <w:rsid w:val="00C95B8A"/>
    <w:rsid w:val="00C95C60"/>
    <w:rsid w:val="00C95CF0"/>
    <w:rsid w:val="00C96099"/>
    <w:rsid w:val="00C96800"/>
    <w:rsid w:val="00C9716D"/>
    <w:rsid w:val="00C975A4"/>
    <w:rsid w:val="00C975E5"/>
    <w:rsid w:val="00C97FB6"/>
    <w:rsid w:val="00CA1A50"/>
    <w:rsid w:val="00CA2280"/>
    <w:rsid w:val="00CA38E9"/>
    <w:rsid w:val="00CA4338"/>
    <w:rsid w:val="00CA4883"/>
    <w:rsid w:val="00CA4A1B"/>
    <w:rsid w:val="00CA6884"/>
    <w:rsid w:val="00CA6C60"/>
    <w:rsid w:val="00CA6E33"/>
    <w:rsid w:val="00CA7B11"/>
    <w:rsid w:val="00CA7F76"/>
    <w:rsid w:val="00CB14D2"/>
    <w:rsid w:val="00CB1A9B"/>
    <w:rsid w:val="00CB1CAA"/>
    <w:rsid w:val="00CB24B4"/>
    <w:rsid w:val="00CB2636"/>
    <w:rsid w:val="00CB2657"/>
    <w:rsid w:val="00CB34FD"/>
    <w:rsid w:val="00CB39B3"/>
    <w:rsid w:val="00CB4331"/>
    <w:rsid w:val="00CB46F9"/>
    <w:rsid w:val="00CB497F"/>
    <w:rsid w:val="00CB5369"/>
    <w:rsid w:val="00CB5567"/>
    <w:rsid w:val="00CB56DD"/>
    <w:rsid w:val="00CB5A21"/>
    <w:rsid w:val="00CB5DC2"/>
    <w:rsid w:val="00CB5DD5"/>
    <w:rsid w:val="00CB6ED6"/>
    <w:rsid w:val="00CB6EF9"/>
    <w:rsid w:val="00CB714F"/>
    <w:rsid w:val="00CB73E3"/>
    <w:rsid w:val="00CB7673"/>
    <w:rsid w:val="00CB77DA"/>
    <w:rsid w:val="00CB7D03"/>
    <w:rsid w:val="00CC03D2"/>
    <w:rsid w:val="00CC1AE5"/>
    <w:rsid w:val="00CC27E0"/>
    <w:rsid w:val="00CC2A6B"/>
    <w:rsid w:val="00CC34F0"/>
    <w:rsid w:val="00CC3985"/>
    <w:rsid w:val="00CC3F9D"/>
    <w:rsid w:val="00CC4E12"/>
    <w:rsid w:val="00CC5C28"/>
    <w:rsid w:val="00CC6B32"/>
    <w:rsid w:val="00CC70B9"/>
    <w:rsid w:val="00CC713D"/>
    <w:rsid w:val="00CC717A"/>
    <w:rsid w:val="00CC7631"/>
    <w:rsid w:val="00CD0483"/>
    <w:rsid w:val="00CD1E4E"/>
    <w:rsid w:val="00CD2769"/>
    <w:rsid w:val="00CD27D5"/>
    <w:rsid w:val="00CD2A93"/>
    <w:rsid w:val="00CD2B5A"/>
    <w:rsid w:val="00CD2F3D"/>
    <w:rsid w:val="00CD30D3"/>
    <w:rsid w:val="00CD5C6E"/>
    <w:rsid w:val="00CD6901"/>
    <w:rsid w:val="00CD6A36"/>
    <w:rsid w:val="00CD6ADB"/>
    <w:rsid w:val="00CD71F6"/>
    <w:rsid w:val="00CD7215"/>
    <w:rsid w:val="00CD77BB"/>
    <w:rsid w:val="00CD7DC1"/>
    <w:rsid w:val="00CE005B"/>
    <w:rsid w:val="00CE0478"/>
    <w:rsid w:val="00CE0E52"/>
    <w:rsid w:val="00CE2BB1"/>
    <w:rsid w:val="00CE33E2"/>
    <w:rsid w:val="00CE3946"/>
    <w:rsid w:val="00CE4110"/>
    <w:rsid w:val="00CE538A"/>
    <w:rsid w:val="00CE6214"/>
    <w:rsid w:val="00CE6400"/>
    <w:rsid w:val="00CE6EB2"/>
    <w:rsid w:val="00CE7207"/>
    <w:rsid w:val="00CE73B8"/>
    <w:rsid w:val="00CF18E7"/>
    <w:rsid w:val="00CF196B"/>
    <w:rsid w:val="00CF1D9E"/>
    <w:rsid w:val="00CF21B3"/>
    <w:rsid w:val="00CF2EC8"/>
    <w:rsid w:val="00CF31A7"/>
    <w:rsid w:val="00CF32FB"/>
    <w:rsid w:val="00CF3441"/>
    <w:rsid w:val="00CF3CB3"/>
    <w:rsid w:val="00CF4230"/>
    <w:rsid w:val="00CF4B93"/>
    <w:rsid w:val="00CF5256"/>
    <w:rsid w:val="00CF545A"/>
    <w:rsid w:val="00CF5B0A"/>
    <w:rsid w:val="00CF5D17"/>
    <w:rsid w:val="00CF63C7"/>
    <w:rsid w:val="00CF6A6C"/>
    <w:rsid w:val="00CF7B63"/>
    <w:rsid w:val="00CF7FEF"/>
    <w:rsid w:val="00D0079A"/>
    <w:rsid w:val="00D012F9"/>
    <w:rsid w:val="00D015E0"/>
    <w:rsid w:val="00D0217B"/>
    <w:rsid w:val="00D027AE"/>
    <w:rsid w:val="00D03513"/>
    <w:rsid w:val="00D03ABB"/>
    <w:rsid w:val="00D03B0C"/>
    <w:rsid w:val="00D0416E"/>
    <w:rsid w:val="00D05517"/>
    <w:rsid w:val="00D05D3D"/>
    <w:rsid w:val="00D05D6A"/>
    <w:rsid w:val="00D069BD"/>
    <w:rsid w:val="00D06B1C"/>
    <w:rsid w:val="00D06F92"/>
    <w:rsid w:val="00D1031F"/>
    <w:rsid w:val="00D10AED"/>
    <w:rsid w:val="00D120C0"/>
    <w:rsid w:val="00D12160"/>
    <w:rsid w:val="00D14021"/>
    <w:rsid w:val="00D1457C"/>
    <w:rsid w:val="00D14673"/>
    <w:rsid w:val="00D14B4D"/>
    <w:rsid w:val="00D14E50"/>
    <w:rsid w:val="00D15596"/>
    <w:rsid w:val="00D1591D"/>
    <w:rsid w:val="00D15C76"/>
    <w:rsid w:val="00D16511"/>
    <w:rsid w:val="00D16A4B"/>
    <w:rsid w:val="00D1706D"/>
    <w:rsid w:val="00D1717F"/>
    <w:rsid w:val="00D177ED"/>
    <w:rsid w:val="00D17F34"/>
    <w:rsid w:val="00D20359"/>
    <w:rsid w:val="00D20962"/>
    <w:rsid w:val="00D2166A"/>
    <w:rsid w:val="00D2167F"/>
    <w:rsid w:val="00D21C2B"/>
    <w:rsid w:val="00D22243"/>
    <w:rsid w:val="00D22931"/>
    <w:rsid w:val="00D22F85"/>
    <w:rsid w:val="00D2364B"/>
    <w:rsid w:val="00D239C2"/>
    <w:rsid w:val="00D23DEA"/>
    <w:rsid w:val="00D2481F"/>
    <w:rsid w:val="00D24D21"/>
    <w:rsid w:val="00D24D48"/>
    <w:rsid w:val="00D25AA3"/>
    <w:rsid w:val="00D25CB3"/>
    <w:rsid w:val="00D266A7"/>
    <w:rsid w:val="00D26B98"/>
    <w:rsid w:val="00D271FF"/>
    <w:rsid w:val="00D2742F"/>
    <w:rsid w:val="00D27EBC"/>
    <w:rsid w:val="00D3098C"/>
    <w:rsid w:val="00D316B4"/>
    <w:rsid w:val="00D31CEE"/>
    <w:rsid w:val="00D322E4"/>
    <w:rsid w:val="00D3348C"/>
    <w:rsid w:val="00D3396A"/>
    <w:rsid w:val="00D33AA8"/>
    <w:rsid w:val="00D36823"/>
    <w:rsid w:val="00D37081"/>
    <w:rsid w:val="00D3758A"/>
    <w:rsid w:val="00D37880"/>
    <w:rsid w:val="00D37BB0"/>
    <w:rsid w:val="00D40749"/>
    <w:rsid w:val="00D40972"/>
    <w:rsid w:val="00D4190C"/>
    <w:rsid w:val="00D41B35"/>
    <w:rsid w:val="00D4265A"/>
    <w:rsid w:val="00D42B53"/>
    <w:rsid w:val="00D42EBB"/>
    <w:rsid w:val="00D45D2C"/>
    <w:rsid w:val="00D4674E"/>
    <w:rsid w:val="00D47247"/>
    <w:rsid w:val="00D47CD1"/>
    <w:rsid w:val="00D47E61"/>
    <w:rsid w:val="00D51B40"/>
    <w:rsid w:val="00D51DC2"/>
    <w:rsid w:val="00D52773"/>
    <w:rsid w:val="00D529BC"/>
    <w:rsid w:val="00D539E8"/>
    <w:rsid w:val="00D53B00"/>
    <w:rsid w:val="00D54279"/>
    <w:rsid w:val="00D55710"/>
    <w:rsid w:val="00D55993"/>
    <w:rsid w:val="00D56072"/>
    <w:rsid w:val="00D5655C"/>
    <w:rsid w:val="00D5659D"/>
    <w:rsid w:val="00D57194"/>
    <w:rsid w:val="00D5764D"/>
    <w:rsid w:val="00D57BE1"/>
    <w:rsid w:val="00D624A9"/>
    <w:rsid w:val="00D62900"/>
    <w:rsid w:val="00D62FED"/>
    <w:rsid w:val="00D63D17"/>
    <w:rsid w:val="00D6425F"/>
    <w:rsid w:val="00D661E6"/>
    <w:rsid w:val="00D66EDB"/>
    <w:rsid w:val="00D6709B"/>
    <w:rsid w:val="00D679B2"/>
    <w:rsid w:val="00D679CF"/>
    <w:rsid w:val="00D67D8E"/>
    <w:rsid w:val="00D67FDD"/>
    <w:rsid w:val="00D70001"/>
    <w:rsid w:val="00D70449"/>
    <w:rsid w:val="00D7132B"/>
    <w:rsid w:val="00D71776"/>
    <w:rsid w:val="00D72067"/>
    <w:rsid w:val="00D72660"/>
    <w:rsid w:val="00D7316E"/>
    <w:rsid w:val="00D73AD0"/>
    <w:rsid w:val="00D74BDA"/>
    <w:rsid w:val="00D74F1B"/>
    <w:rsid w:val="00D75504"/>
    <w:rsid w:val="00D7663B"/>
    <w:rsid w:val="00D76EEF"/>
    <w:rsid w:val="00D77E91"/>
    <w:rsid w:val="00D80297"/>
    <w:rsid w:val="00D811C6"/>
    <w:rsid w:val="00D81CD2"/>
    <w:rsid w:val="00D81F90"/>
    <w:rsid w:val="00D8393E"/>
    <w:rsid w:val="00D8584F"/>
    <w:rsid w:val="00D85ED7"/>
    <w:rsid w:val="00D85F9A"/>
    <w:rsid w:val="00D87F31"/>
    <w:rsid w:val="00D903A2"/>
    <w:rsid w:val="00D90980"/>
    <w:rsid w:val="00D91705"/>
    <w:rsid w:val="00D91E8A"/>
    <w:rsid w:val="00D92235"/>
    <w:rsid w:val="00D9304D"/>
    <w:rsid w:val="00D93299"/>
    <w:rsid w:val="00D94338"/>
    <w:rsid w:val="00D95030"/>
    <w:rsid w:val="00D951B6"/>
    <w:rsid w:val="00D95B77"/>
    <w:rsid w:val="00D96FA8"/>
    <w:rsid w:val="00D97C78"/>
    <w:rsid w:val="00DA019F"/>
    <w:rsid w:val="00DA0BDD"/>
    <w:rsid w:val="00DA24DA"/>
    <w:rsid w:val="00DA24F1"/>
    <w:rsid w:val="00DA29C2"/>
    <w:rsid w:val="00DA2C6A"/>
    <w:rsid w:val="00DA43C4"/>
    <w:rsid w:val="00DA46CA"/>
    <w:rsid w:val="00DA58BC"/>
    <w:rsid w:val="00DA5C83"/>
    <w:rsid w:val="00DA6611"/>
    <w:rsid w:val="00DA73EB"/>
    <w:rsid w:val="00DA7B62"/>
    <w:rsid w:val="00DB067B"/>
    <w:rsid w:val="00DB1046"/>
    <w:rsid w:val="00DB1D4A"/>
    <w:rsid w:val="00DB21E6"/>
    <w:rsid w:val="00DB3851"/>
    <w:rsid w:val="00DB3B6F"/>
    <w:rsid w:val="00DB3FDC"/>
    <w:rsid w:val="00DB400D"/>
    <w:rsid w:val="00DB41BB"/>
    <w:rsid w:val="00DB4D8C"/>
    <w:rsid w:val="00DB5095"/>
    <w:rsid w:val="00DB5484"/>
    <w:rsid w:val="00DB66B3"/>
    <w:rsid w:val="00DB6844"/>
    <w:rsid w:val="00DB686A"/>
    <w:rsid w:val="00DB7471"/>
    <w:rsid w:val="00DB76E4"/>
    <w:rsid w:val="00DC1D17"/>
    <w:rsid w:val="00DC2E38"/>
    <w:rsid w:val="00DC3304"/>
    <w:rsid w:val="00DC4413"/>
    <w:rsid w:val="00DC44F9"/>
    <w:rsid w:val="00DC45D5"/>
    <w:rsid w:val="00DC4EC8"/>
    <w:rsid w:val="00DC4EDE"/>
    <w:rsid w:val="00DC5CB0"/>
    <w:rsid w:val="00DC5DE7"/>
    <w:rsid w:val="00DC5ED5"/>
    <w:rsid w:val="00DC6776"/>
    <w:rsid w:val="00DC76DC"/>
    <w:rsid w:val="00DC7C06"/>
    <w:rsid w:val="00DC7F51"/>
    <w:rsid w:val="00DD0CF5"/>
    <w:rsid w:val="00DD1DEC"/>
    <w:rsid w:val="00DD2495"/>
    <w:rsid w:val="00DD26F5"/>
    <w:rsid w:val="00DD2ADF"/>
    <w:rsid w:val="00DD2F6B"/>
    <w:rsid w:val="00DD3983"/>
    <w:rsid w:val="00DD40A8"/>
    <w:rsid w:val="00DD4175"/>
    <w:rsid w:val="00DD566B"/>
    <w:rsid w:val="00DD5B62"/>
    <w:rsid w:val="00DD5E78"/>
    <w:rsid w:val="00DD68A6"/>
    <w:rsid w:val="00DD7176"/>
    <w:rsid w:val="00DD71CB"/>
    <w:rsid w:val="00DD78BC"/>
    <w:rsid w:val="00DE2516"/>
    <w:rsid w:val="00DE4957"/>
    <w:rsid w:val="00DE56DD"/>
    <w:rsid w:val="00DE5E31"/>
    <w:rsid w:val="00DE7395"/>
    <w:rsid w:val="00DF0254"/>
    <w:rsid w:val="00DF02B1"/>
    <w:rsid w:val="00DF09BC"/>
    <w:rsid w:val="00DF14F8"/>
    <w:rsid w:val="00DF195A"/>
    <w:rsid w:val="00DF1D0A"/>
    <w:rsid w:val="00DF3F9C"/>
    <w:rsid w:val="00DF44E2"/>
    <w:rsid w:val="00DF4D99"/>
    <w:rsid w:val="00DF4E74"/>
    <w:rsid w:val="00DF5698"/>
    <w:rsid w:val="00DF5AF2"/>
    <w:rsid w:val="00DF5EE6"/>
    <w:rsid w:val="00DF70F3"/>
    <w:rsid w:val="00E003B2"/>
    <w:rsid w:val="00E017BF"/>
    <w:rsid w:val="00E017C6"/>
    <w:rsid w:val="00E01DF3"/>
    <w:rsid w:val="00E01FF3"/>
    <w:rsid w:val="00E03BCB"/>
    <w:rsid w:val="00E04411"/>
    <w:rsid w:val="00E04BCF"/>
    <w:rsid w:val="00E056A7"/>
    <w:rsid w:val="00E0604E"/>
    <w:rsid w:val="00E06D8C"/>
    <w:rsid w:val="00E06F6F"/>
    <w:rsid w:val="00E077A4"/>
    <w:rsid w:val="00E103C7"/>
    <w:rsid w:val="00E10A84"/>
    <w:rsid w:val="00E1104A"/>
    <w:rsid w:val="00E11F80"/>
    <w:rsid w:val="00E129F1"/>
    <w:rsid w:val="00E12FD4"/>
    <w:rsid w:val="00E13116"/>
    <w:rsid w:val="00E13186"/>
    <w:rsid w:val="00E13633"/>
    <w:rsid w:val="00E14A3E"/>
    <w:rsid w:val="00E14BF0"/>
    <w:rsid w:val="00E14DCE"/>
    <w:rsid w:val="00E15921"/>
    <w:rsid w:val="00E16E75"/>
    <w:rsid w:val="00E173D9"/>
    <w:rsid w:val="00E17921"/>
    <w:rsid w:val="00E17BB3"/>
    <w:rsid w:val="00E17BFB"/>
    <w:rsid w:val="00E200FE"/>
    <w:rsid w:val="00E22252"/>
    <w:rsid w:val="00E223A7"/>
    <w:rsid w:val="00E2254A"/>
    <w:rsid w:val="00E23B9B"/>
    <w:rsid w:val="00E24350"/>
    <w:rsid w:val="00E2476E"/>
    <w:rsid w:val="00E24B73"/>
    <w:rsid w:val="00E255C2"/>
    <w:rsid w:val="00E259EE"/>
    <w:rsid w:val="00E25A4D"/>
    <w:rsid w:val="00E26B03"/>
    <w:rsid w:val="00E27189"/>
    <w:rsid w:val="00E27269"/>
    <w:rsid w:val="00E27EC4"/>
    <w:rsid w:val="00E30055"/>
    <w:rsid w:val="00E3008D"/>
    <w:rsid w:val="00E31E12"/>
    <w:rsid w:val="00E322B1"/>
    <w:rsid w:val="00E336BA"/>
    <w:rsid w:val="00E33912"/>
    <w:rsid w:val="00E340BF"/>
    <w:rsid w:val="00E35222"/>
    <w:rsid w:val="00E36266"/>
    <w:rsid w:val="00E36A65"/>
    <w:rsid w:val="00E402F4"/>
    <w:rsid w:val="00E40828"/>
    <w:rsid w:val="00E40A96"/>
    <w:rsid w:val="00E40B21"/>
    <w:rsid w:val="00E41A6F"/>
    <w:rsid w:val="00E41DD5"/>
    <w:rsid w:val="00E42C63"/>
    <w:rsid w:val="00E438B7"/>
    <w:rsid w:val="00E451F6"/>
    <w:rsid w:val="00E459C8"/>
    <w:rsid w:val="00E45A8B"/>
    <w:rsid w:val="00E46461"/>
    <w:rsid w:val="00E469FF"/>
    <w:rsid w:val="00E46B9F"/>
    <w:rsid w:val="00E47659"/>
    <w:rsid w:val="00E47758"/>
    <w:rsid w:val="00E47854"/>
    <w:rsid w:val="00E47A27"/>
    <w:rsid w:val="00E50DF9"/>
    <w:rsid w:val="00E50E96"/>
    <w:rsid w:val="00E51045"/>
    <w:rsid w:val="00E514D0"/>
    <w:rsid w:val="00E51DDD"/>
    <w:rsid w:val="00E52BB8"/>
    <w:rsid w:val="00E5330A"/>
    <w:rsid w:val="00E535A6"/>
    <w:rsid w:val="00E5373F"/>
    <w:rsid w:val="00E53911"/>
    <w:rsid w:val="00E53CC9"/>
    <w:rsid w:val="00E54600"/>
    <w:rsid w:val="00E54ED3"/>
    <w:rsid w:val="00E56E26"/>
    <w:rsid w:val="00E5738B"/>
    <w:rsid w:val="00E576FD"/>
    <w:rsid w:val="00E57C5B"/>
    <w:rsid w:val="00E60B4E"/>
    <w:rsid w:val="00E60F40"/>
    <w:rsid w:val="00E61126"/>
    <w:rsid w:val="00E61365"/>
    <w:rsid w:val="00E615F1"/>
    <w:rsid w:val="00E622EB"/>
    <w:rsid w:val="00E623FE"/>
    <w:rsid w:val="00E635A7"/>
    <w:rsid w:val="00E64124"/>
    <w:rsid w:val="00E658C3"/>
    <w:rsid w:val="00E66852"/>
    <w:rsid w:val="00E66C9A"/>
    <w:rsid w:val="00E66EF3"/>
    <w:rsid w:val="00E67AB6"/>
    <w:rsid w:val="00E701A5"/>
    <w:rsid w:val="00E7029B"/>
    <w:rsid w:val="00E7041F"/>
    <w:rsid w:val="00E72316"/>
    <w:rsid w:val="00E7254A"/>
    <w:rsid w:val="00E72932"/>
    <w:rsid w:val="00E72BA8"/>
    <w:rsid w:val="00E73E24"/>
    <w:rsid w:val="00E749D5"/>
    <w:rsid w:val="00E74B3E"/>
    <w:rsid w:val="00E74C30"/>
    <w:rsid w:val="00E74C49"/>
    <w:rsid w:val="00E753E1"/>
    <w:rsid w:val="00E759F6"/>
    <w:rsid w:val="00E75DCA"/>
    <w:rsid w:val="00E76971"/>
    <w:rsid w:val="00E77C04"/>
    <w:rsid w:val="00E800B3"/>
    <w:rsid w:val="00E80822"/>
    <w:rsid w:val="00E80C59"/>
    <w:rsid w:val="00E81116"/>
    <w:rsid w:val="00E81755"/>
    <w:rsid w:val="00E82DCC"/>
    <w:rsid w:val="00E834BE"/>
    <w:rsid w:val="00E83720"/>
    <w:rsid w:val="00E839B1"/>
    <w:rsid w:val="00E840C2"/>
    <w:rsid w:val="00E84521"/>
    <w:rsid w:val="00E847BE"/>
    <w:rsid w:val="00E85213"/>
    <w:rsid w:val="00E875B8"/>
    <w:rsid w:val="00E9015C"/>
    <w:rsid w:val="00E902CF"/>
    <w:rsid w:val="00E90642"/>
    <w:rsid w:val="00E90803"/>
    <w:rsid w:val="00E910EE"/>
    <w:rsid w:val="00E91258"/>
    <w:rsid w:val="00E91526"/>
    <w:rsid w:val="00E9192B"/>
    <w:rsid w:val="00E91E6F"/>
    <w:rsid w:val="00E91EF3"/>
    <w:rsid w:val="00E91FAD"/>
    <w:rsid w:val="00E93815"/>
    <w:rsid w:val="00E938DE"/>
    <w:rsid w:val="00E93CBE"/>
    <w:rsid w:val="00E96298"/>
    <w:rsid w:val="00E965AC"/>
    <w:rsid w:val="00E96638"/>
    <w:rsid w:val="00E96BFC"/>
    <w:rsid w:val="00E96E3F"/>
    <w:rsid w:val="00E97C7E"/>
    <w:rsid w:val="00E97F25"/>
    <w:rsid w:val="00EA02A5"/>
    <w:rsid w:val="00EA1254"/>
    <w:rsid w:val="00EA14F7"/>
    <w:rsid w:val="00EA1942"/>
    <w:rsid w:val="00EA1D1A"/>
    <w:rsid w:val="00EA319E"/>
    <w:rsid w:val="00EA3E11"/>
    <w:rsid w:val="00EA4FC5"/>
    <w:rsid w:val="00EA5837"/>
    <w:rsid w:val="00EA680C"/>
    <w:rsid w:val="00EA7128"/>
    <w:rsid w:val="00EA7E61"/>
    <w:rsid w:val="00EB0DBF"/>
    <w:rsid w:val="00EB1E62"/>
    <w:rsid w:val="00EB25E1"/>
    <w:rsid w:val="00EB3727"/>
    <w:rsid w:val="00EB39D7"/>
    <w:rsid w:val="00EB4287"/>
    <w:rsid w:val="00EB4EA7"/>
    <w:rsid w:val="00EB50CF"/>
    <w:rsid w:val="00EB5E69"/>
    <w:rsid w:val="00EB6AA3"/>
    <w:rsid w:val="00EB6EFF"/>
    <w:rsid w:val="00EC10B7"/>
    <w:rsid w:val="00EC1EE6"/>
    <w:rsid w:val="00EC2426"/>
    <w:rsid w:val="00EC2581"/>
    <w:rsid w:val="00EC32C6"/>
    <w:rsid w:val="00EC413D"/>
    <w:rsid w:val="00EC44F2"/>
    <w:rsid w:val="00EC548D"/>
    <w:rsid w:val="00EC5865"/>
    <w:rsid w:val="00EC5934"/>
    <w:rsid w:val="00EC65A9"/>
    <w:rsid w:val="00EC679A"/>
    <w:rsid w:val="00EC7EE2"/>
    <w:rsid w:val="00ED0348"/>
    <w:rsid w:val="00ED09FB"/>
    <w:rsid w:val="00ED1B96"/>
    <w:rsid w:val="00ED1E47"/>
    <w:rsid w:val="00ED2323"/>
    <w:rsid w:val="00ED2E48"/>
    <w:rsid w:val="00ED3ED4"/>
    <w:rsid w:val="00ED5DAD"/>
    <w:rsid w:val="00ED62DF"/>
    <w:rsid w:val="00ED68FD"/>
    <w:rsid w:val="00ED77EE"/>
    <w:rsid w:val="00ED7D43"/>
    <w:rsid w:val="00EE0F13"/>
    <w:rsid w:val="00EE106E"/>
    <w:rsid w:val="00EE18A7"/>
    <w:rsid w:val="00EE2FBF"/>
    <w:rsid w:val="00EE3FD4"/>
    <w:rsid w:val="00EE4B38"/>
    <w:rsid w:val="00EE5182"/>
    <w:rsid w:val="00EE54BB"/>
    <w:rsid w:val="00EE5963"/>
    <w:rsid w:val="00EE61E6"/>
    <w:rsid w:val="00EE64FD"/>
    <w:rsid w:val="00EE76B5"/>
    <w:rsid w:val="00EE7A90"/>
    <w:rsid w:val="00EE7BF7"/>
    <w:rsid w:val="00EF057A"/>
    <w:rsid w:val="00EF1EB5"/>
    <w:rsid w:val="00EF1F88"/>
    <w:rsid w:val="00EF28B7"/>
    <w:rsid w:val="00EF2C77"/>
    <w:rsid w:val="00EF33C0"/>
    <w:rsid w:val="00EF4320"/>
    <w:rsid w:val="00EF46F8"/>
    <w:rsid w:val="00EF5920"/>
    <w:rsid w:val="00EF68FD"/>
    <w:rsid w:val="00EF6D99"/>
    <w:rsid w:val="00EF6FBF"/>
    <w:rsid w:val="00EF70FF"/>
    <w:rsid w:val="00F00704"/>
    <w:rsid w:val="00F01663"/>
    <w:rsid w:val="00F01B88"/>
    <w:rsid w:val="00F02D88"/>
    <w:rsid w:val="00F035F5"/>
    <w:rsid w:val="00F0379E"/>
    <w:rsid w:val="00F0485E"/>
    <w:rsid w:val="00F0570A"/>
    <w:rsid w:val="00F070F5"/>
    <w:rsid w:val="00F074BF"/>
    <w:rsid w:val="00F10247"/>
    <w:rsid w:val="00F10CFF"/>
    <w:rsid w:val="00F11936"/>
    <w:rsid w:val="00F11B65"/>
    <w:rsid w:val="00F1261F"/>
    <w:rsid w:val="00F128E4"/>
    <w:rsid w:val="00F1313D"/>
    <w:rsid w:val="00F1582A"/>
    <w:rsid w:val="00F16173"/>
    <w:rsid w:val="00F16770"/>
    <w:rsid w:val="00F16CDE"/>
    <w:rsid w:val="00F16F03"/>
    <w:rsid w:val="00F177FD"/>
    <w:rsid w:val="00F1792E"/>
    <w:rsid w:val="00F17E57"/>
    <w:rsid w:val="00F204FE"/>
    <w:rsid w:val="00F21C02"/>
    <w:rsid w:val="00F2254F"/>
    <w:rsid w:val="00F23C26"/>
    <w:rsid w:val="00F23CD2"/>
    <w:rsid w:val="00F23FE0"/>
    <w:rsid w:val="00F241F7"/>
    <w:rsid w:val="00F24717"/>
    <w:rsid w:val="00F253E6"/>
    <w:rsid w:val="00F254BE"/>
    <w:rsid w:val="00F256FC"/>
    <w:rsid w:val="00F25D5F"/>
    <w:rsid w:val="00F25F94"/>
    <w:rsid w:val="00F2634B"/>
    <w:rsid w:val="00F263DC"/>
    <w:rsid w:val="00F26631"/>
    <w:rsid w:val="00F268F8"/>
    <w:rsid w:val="00F26D19"/>
    <w:rsid w:val="00F26EC6"/>
    <w:rsid w:val="00F27230"/>
    <w:rsid w:val="00F27C93"/>
    <w:rsid w:val="00F27CBA"/>
    <w:rsid w:val="00F30897"/>
    <w:rsid w:val="00F3166E"/>
    <w:rsid w:val="00F316D7"/>
    <w:rsid w:val="00F32130"/>
    <w:rsid w:val="00F32190"/>
    <w:rsid w:val="00F321AC"/>
    <w:rsid w:val="00F33E5E"/>
    <w:rsid w:val="00F36063"/>
    <w:rsid w:val="00F374B6"/>
    <w:rsid w:val="00F400C4"/>
    <w:rsid w:val="00F413BB"/>
    <w:rsid w:val="00F4205E"/>
    <w:rsid w:val="00F4218E"/>
    <w:rsid w:val="00F4221A"/>
    <w:rsid w:val="00F422E9"/>
    <w:rsid w:val="00F42B9B"/>
    <w:rsid w:val="00F42CE8"/>
    <w:rsid w:val="00F43BCC"/>
    <w:rsid w:val="00F43E0A"/>
    <w:rsid w:val="00F449C4"/>
    <w:rsid w:val="00F45088"/>
    <w:rsid w:val="00F45543"/>
    <w:rsid w:val="00F460BA"/>
    <w:rsid w:val="00F4645B"/>
    <w:rsid w:val="00F46DDE"/>
    <w:rsid w:val="00F46E28"/>
    <w:rsid w:val="00F47718"/>
    <w:rsid w:val="00F5339C"/>
    <w:rsid w:val="00F53634"/>
    <w:rsid w:val="00F53795"/>
    <w:rsid w:val="00F5402A"/>
    <w:rsid w:val="00F54C18"/>
    <w:rsid w:val="00F56BB2"/>
    <w:rsid w:val="00F5736D"/>
    <w:rsid w:val="00F5780F"/>
    <w:rsid w:val="00F57F6C"/>
    <w:rsid w:val="00F6064A"/>
    <w:rsid w:val="00F60FD4"/>
    <w:rsid w:val="00F629D0"/>
    <w:rsid w:val="00F62A78"/>
    <w:rsid w:val="00F62BAD"/>
    <w:rsid w:val="00F6306A"/>
    <w:rsid w:val="00F646CA"/>
    <w:rsid w:val="00F64709"/>
    <w:rsid w:val="00F649C4"/>
    <w:rsid w:val="00F658BA"/>
    <w:rsid w:val="00F658F9"/>
    <w:rsid w:val="00F66071"/>
    <w:rsid w:val="00F667F2"/>
    <w:rsid w:val="00F67629"/>
    <w:rsid w:val="00F703EE"/>
    <w:rsid w:val="00F70590"/>
    <w:rsid w:val="00F7072B"/>
    <w:rsid w:val="00F711FA"/>
    <w:rsid w:val="00F71F7D"/>
    <w:rsid w:val="00F73130"/>
    <w:rsid w:val="00F73663"/>
    <w:rsid w:val="00F73C95"/>
    <w:rsid w:val="00F74A16"/>
    <w:rsid w:val="00F74D82"/>
    <w:rsid w:val="00F76602"/>
    <w:rsid w:val="00F77413"/>
    <w:rsid w:val="00F806A7"/>
    <w:rsid w:val="00F80E42"/>
    <w:rsid w:val="00F80F45"/>
    <w:rsid w:val="00F810FD"/>
    <w:rsid w:val="00F83293"/>
    <w:rsid w:val="00F84AA3"/>
    <w:rsid w:val="00F85367"/>
    <w:rsid w:val="00F86427"/>
    <w:rsid w:val="00F86705"/>
    <w:rsid w:val="00F86F33"/>
    <w:rsid w:val="00F91013"/>
    <w:rsid w:val="00F911F4"/>
    <w:rsid w:val="00F91B26"/>
    <w:rsid w:val="00F92AF8"/>
    <w:rsid w:val="00F92D92"/>
    <w:rsid w:val="00F94026"/>
    <w:rsid w:val="00F94E43"/>
    <w:rsid w:val="00F95510"/>
    <w:rsid w:val="00F966A7"/>
    <w:rsid w:val="00F970DA"/>
    <w:rsid w:val="00FA03D6"/>
    <w:rsid w:val="00FA1B1A"/>
    <w:rsid w:val="00FA1C4C"/>
    <w:rsid w:val="00FA1E00"/>
    <w:rsid w:val="00FA1F3C"/>
    <w:rsid w:val="00FA2003"/>
    <w:rsid w:val="00FA28C4"/>
    <w:rsid w:val="00FA2E2D"/>
    <w:rsid w:val="00FA3BE8"/>
    <w:rsid w:val="00FA3C3D"/>
    <w:rsid w:val="00FA5F4D"/>
    <w:rsid w:val="00FA6191"/>
    <w:rsid w:val="00FA73F2"/>
    <w:rsid w:val="00FA77E4"/>
    <w:rsid w:val="00FA7EF9"/>
    <w:rsid w:val="00FB0FFA"/>
    <w:rsid w:val="00FB10B9"/>
    <w:rsid w:val="00FB1B23"/>
    <w:rsid w:val="00FB2EE4"/>
    <w:rsid w:val="00FB3309"/>
    <w:rsid w:val="00FB3D2D"/>
    <w:rsid w:val="00FB50C7"/>
    <w:rsid w:val="00FB5C6C"/>
    <w:rsid w:val="00FB5E5A"/>
    <w:rsid w:val="00FB61FB"/>
    <w:rsid w:val="00FB65B8"/>
    <w:rsid w:val="00FB7083"/>
    <w:rsid w:val="00FB7BD6"/>
    <w:rsid w:val="00FB7FD6"/>
    <w:rsid w:val="00FC00A4"/>
    <w:rsid w:val="00FC0666"/>
    <w:rsid w:val="00FC17AD"/>
    <w:rsid w:val="00FC1975"/>
    <w:rsid w:val="00FC1E4D"/>
    <w:rsid w:val="00FC35F3"/>
    <w:rsid w:val="00FC36F6"/>
    <w:rsid w:val="00FC3D15"/>
    <w:rsid w:val="00FC3EC9"/>
    <w:rsid w:val="00FC4024"/>
    <w:rsid w:val="00FC4B44"/>
    <w:rsid w:val="00FC50C9"/>
    <w:rsid w:val="00FC536B"/>
    <w:rsid w:val="00FC6303"/>
    <w:rsid w:val="00FC6A10"/>
    <w:rsid w:val="00FD0539"/>
    <w:rsid w:val="00FD1711"/>
    <w:rsid w:val="00FD18E0"/>
    <w:rsid w:val="00FD1AFA"/>
    <w:rsid w:val="00FD2D88"/>
    <w:rsid w:val="00FD2E14"/>
    <w:rsid w:val="00FD2FE5"/>
    <w:rsid w:val="00FD32CB"/>
    <w:rsid w:val="00FD33E8"/>
    <w:rsid w:val="00FD345D"/>
    <w:rsid w:val="00FD3573"/>
    <w:rsid w:val="00FD3CBE"/>
    <w:rsid w:val="00FD4DFE"/>
    <w:rsid w:val="00FD5218"/>
    <w:rsid w:val="00FD5416"/>
    <w:rsid w:val="00FD56D2"/>
    <w:rsid w:val="00FD6535"/>
    <w:rsid w:val="00FD73A8"/>
    <w:rsid w:val="00FE02E6"/>
    <w:rsid w:val="00FE2281"/>
    <w:rsid w:val="00FE258D"/>
    <w:rsid w:val="00FE29DE"/>
    <w:rsid w:val="00FE46E5"/>
    <w:rsid w:val="00FE4CDC"/>
    <w:rsid w:val="00FE4DDE"/>
    <w:rsid w:val="00FE53C9"/>
    <w:rsid w:val="00FE5986"/>
    <w:rsid w:val="00FE5CA3"/>
    <w:rsid w:val="00FE634D"/>
    <w:rsid w:val="00FE6704"/>
    <w:rsid w:val="00FE7E4E"/>
    <w:rsid w:val="00FF02FD"/>
    <w:rsid w:val="00FF06A3"/>
    <w:rsid w:val="00FF2168"/>
    <w:rsid w:val="00FF34A1"/>
    <w:rsid w:val="00FF366A"/>
    <w:rsid w:val="00FF39D4"/>
    <w:rsid w:val="00FF3CA3"/>
    <w:rsid w:val="00FF5702"/>
    <w:rsid w:val="00FF599F"/>
    <w:rsid w:val="00FF6AB9"/>
    <w:rsid w:val="00FF7042"/>
    <w:rsid w:val="00FF71F1"/>
    <w:rsid w:val="00FF7369"/>
    <w:rsid w:val="2A3A19B9"/>
    <w:rsid w:val="2EBE4F83"/>
    <w:rsid w:val="4BC5C7F8"/>
    <w:rsid w:val="5059C252"/>
  </w:rsids>
  <m:mathPr>
    <m:mathFont m:val="Cambria Math"/>
    <m:brkBin m:val="before"/>
    <m:brkBinSub m:val="--"/>
    <m:smallFrac m:val="0"/>
    <m:dispDef/>
    <m:lMargin m:val="0"/>
    <m:rMargin m:val="0"/>
    <m:defJc m:val="centerGroup"/>
    <m:wrapIndent m:val="1440"/>
    <m:intLim m:val="subSup"/>
    <m:naryLim m:val="undOvr"/>
  </m:mathPr>
  <w:themeFontLang w:val="en-C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DAFF45"/>
  <w15:chartTrackingRefBased/>
  <w15:docId w15:val="{A3FFF611-1BFD-424B-BA56-61F1A18B44B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heme="minorHAnsi" w:hAnsiTheme="minorHAnsi" w:eastAsiaTheme="minorHAnsi" w:cstheme="minorBidi"/>
        <w:kern w:val="2"/>
        <w:sz w:val="24"/>
        <w:szCs w:val="24"/>
        <w:lang w:val="en-C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722818"/>
    <w:pPr>
      <w:keepNext/>
      <w:keepLines/>
      <w:spacing w:before="360" w:after="80"/>
      <w:jc w:val="center"/>
      <w:outlineLvl w:val="0"/>
    </w:pPr>
    <w:rPr>
      <w:rFonts w:ascii="Arial" w:hAnsi="Arial" w:eastAsiaTheme="majorEastAsia" w:cstheme="majorBidi"/>
      <w:color w:val="0F4761" w:themeColor="accent1" w:themeShade="BF"/>
      <w:sz w:val="32"/>
      <w:szCs w:val="40"/>
    </w:rPr>
  </w:style>
  <w:style w:type="paragraph" w:styleId="Heading2">
    <w:name w:val="heading 2"/>
    <w:basedOn w:val="Normal"/>
    <w:next w:val="Normal"/>
    <w:link w:val="Heading2Char"/>
    <w:uiPriority w:val="9"/>
    <w:unhideWhenUsed/>
    <w:qFormat/>
    <w:rsid w:val="00722818"/>
    <w:pPr>
      <w:keepNext/>
      <w:keepLines/>
      <w:spacing w:before="160" w:after="80"/>
      <w:outlineLvl w:val="1"/>
    </w:pPr>
    <w:rPr>
      <w:rFonts w:ascii="Arial" w:hAnsi="Arial" w:eastAsiaTheme="majorEastAsia" w:cstheme="majorBidi"/>
      <w:b/>
      <w:color w:val="0F4761" w:themeColor="accent1" w:themeShade="BF"/>
      <w:sz w:val="28"/>
      <w:szCs w:val="32"/>
    </w:rPr>
  </w:style>
  <w:style w:type="paragraph" w:styleId="Heading3">
    <w:name w:val="heading 3"/>
    <w:basedOn w:val="Normal"/>
    <w:next w:val="Normal"/>
    <w:link w:val="Heading3Char"/>
    <w:uiPriority w:val="9"/>
    <w:unhideWhenUsed/>
    <w:qFormat/>
    <w:rsid w:val="00722818"/>
    <w:pPr>
      <w:keepNext/>
      <w:keepLines/>
      <w:spacing w:before="160" w:after="80"/>
      <w:outlineLvl w:val="2"/>
    </w:pPr>
    <w:rPr>
      <w:rFonts w:ascii="Arial" w:hAnsi="Arial" w:eastAsiaTheme="majorEastAsia" w:cstheme="majorBidi"/>
      <w:i/>
      <w:color w:val="0F4761" w:themeColor="accent1" w:themeShade="BF"/>
      <w:szCs w:val="28"/>
    </w:rPr>
  </w:style>
  <w:style w:type="paragraph" w:styleId="Heading4">
    <w:name w:val="heading 4"/>
    <w:basedOn w:val="Normal"/>
    <w:next w:val="Normal"/>
    <w:link w:val="Heading4Char"/>
    <w:uiPriority w:val="9"/>
    <w:semiHidden/>
    <w:unhideWhenUsed/>
    <w:qFormat/>
    <w:rsid w:val="00B07C0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07C0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07C0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07C0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07C0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07C00"/>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B07C00"/>
    <w:rPr>
      <w:rFonts w:ascii="Arial" w:hAnsi="Arial" w:eastAsiaTheme="majorEastAsia" w:cstheme="majorBidi"/>
      <w:color w:val="0F4761" w:themeColor="accent1" w:themeShade="BF"/>
      <w:sz w:val="32"/>
      <w:szCs w:val="40"/>
    </w:rPr>
  </w:style>
  <w:style w:type="character" w:styleId="Heading2Char" w:customStyle="1">
    <w:name w:val="Heading 2 Char"/>
    <w:basedOn w:val="DefaultParagraphFont"/>
    <w:link w:val="Heading2"/>
    <w:uiPriority w:val="9"/>
    <w:rsid w:val="00B07C00"/>
    <w:rPr>
      <w:rFonts w:ascii="Arial" w:hAnsi="Arial" w:eastAsiaTheme="majorEastAsia" w:cstheme="majorBidi"/>
      <w:b/>
      <w:color w:val="0F4761" w:themeColor="accent1" w:themeShade="BF"/>
      <w:sz w:val="28"/>
      <w:szCs w:val="32"/>
    </w:rPr>
  </w:style>
  <w:style w:type="character" w:styleId="Heading3Char" w:customStyle="1">
    <w:name w:val="Heading 3 Char"/>
    <w:basedOn w:val="DefaultParagraphFont"/>
    <w:link w:val="Heading3"/>
    <w:uiPriority w:val="9"/>
    <w:rsid w:val="00B07C00"/>
    <w:rPr>
      <w:rFonts w:ascii="Arial" w:hAnsi="Arial" w:eastAsiaTheme="majorEastAsia" w:cstheme="majorBidi"/>
      <w:i/>
      <w:color w:val="0F4761" w:themeColor="accent1" w:themeShade="BF"/>
      <w:szCs w:val="28"/>
    </w:rPr>
  </w:style>
  <w:style w:type="character" w:styleId="Heading4Char" w:customStyle="1">
    <w:name w:val="Heading 4 Char"/>
    <w:basedOn w:val="DefaultParagraphFont"/>
    <w:link w:val="Heading4"/>
    <w:uiPriority w:val="9"/>
    <w:semiHidden/>
    <w:rsid w:val="00B07C00"/>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B07C00"/>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B07C00"/>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B07C00"/>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B07C00"/>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B07C00"/>
    <w:rPr>
      <w:rFonts w:eastAsiaTheme="majorEastAsia" w:cstheme="majorBidi"/>
      <w:color w:val="272727" w:themeColor="text1" w:themeTint="D8"/>
    </w:rPr>
  </w:style>
  <w:style w:type="paragraph" w:styleId="Title">
    <w:name w:val="Title"/>
    <w:basedOn w:val="Normal"/>
    <w:next w:val="Normal"/>
    <w:link w:val="TitleChar"/>
    <w:uiPriority w:val="10"/>
    <w:qFormat/>
    <w:rsid w:val="00B07C00"/>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B07C00"/>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B07C00"/>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B07C0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07C00"/>
    <w:pPr>
      <w:spacing w:before="160"/>
      <w:jc w:val="center"/>
    </w:pPr>
    <w:rPr>
      <w:i/>
      <w:iCs/>
      <w:color w:val="404040" w:themeColor="text1" w:themeTint="BF"/>
    </w:rPr>
  </w:style>
  <w:style w:type="character" w:styleId="QuoteChar" w:customStyle="1">
    <w:name w:val="Quote Char"/>
    <w:basedOn w:val="DefaultParagraphFont"/>
    <w:link w:val="Quote"/>
    <w:uiPriority w:val="29"/>
    <w:rsid w:val="00B07C00"/>
    <w:rPr>
      <w:i/>
      <w:iCs/>
      <w:color w:val="404040" w:themeColor="text1" w:themeTint="BF"/>
    </w:rPr>
  </w:style>
  <w:style w:type="paragraph" w:styleId="ListParagraph">
    <w:name w:val="List Paragraph"/>
    <w:basedOn w:val="Normal"/>
    <w:uiPriority w:val="34"/>
    <w:qFormat/>
    <w:rsid w:val="00B07C00"/>
    <w:pPr>
      <w:ind w:left="720"/>
      <w:contextualSpacing/>
    </w:pPr>
  </w:style>
  <w:style w:type="character" w:styleId="IntenseEmphasis">
    <w:name w:val="Intense Emphasis"/>
    <w:basedOn w:val="DefaultParagraphFont"/>
    <w:uiPriority w:val="21"/>
    <w:qFormat/>
    <w:rsid w:val="00B07C00"/>
    <w:rPr>
      <w:i/>
      <w:iCs/>
      <w:color w:val="0F4761" w:themeColor="accent1" w:themeShade="BF"/>
    </w:rPr>
  </w:style>
  <w:style w:type="paragraph" w:styleId="IntenseQuote">
    <w:name w:val="Intense Quote"/>
    <w:basedOn w:val="Normal"/>
    <w:next w:val="Normal"/>
    <w:link w:val="IntenseQuoteChar"/>
    <w:uiPriority w:val="30"/>
    <w:qFormat/>
    <w:rsid w:val="00B07C00"/>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B07C00"/>
    <w:rPr>
      <w:i/>
      <w:iCs/>
      <w:color w:val="0F4761" w:themeColor="accent1" w:themeShade="BF"/>
    </w:rPr>
  </w:style>
  <w:style w:type="character" w:styleId="IntenseReference">
    <w:name w:val="Intense Reference"/>
    <w:basedOn w:val="DefaultParagraphFont"/>
    <w:uiPriority w:val="32"/>
    <w:qFormat/>
    <w:rsid w:val="00B07C00"/>
    <w:rPr>
      <w:b/>
      <w:bCs/>
      <w:smallCaps/>
      <w:color w:val="0F4761" w:themeColor="accent1" w:themeShade="BF"/>
      <w:spacing w:val="5"/>
    </w:rPr>
  </w:style>
  <w:style w:type="paragraph" w:styleId="paragraph" w:customStyle="1">
    <w:name w:val="paragraph"/>
    <w:basedOn w:val="Normal"/>
    <w:rsid w:val="003149A6"/>
    <w:pPr>
      <w:spacing w:before="100" w:beforeAutospacing="1" w:after="100" w:afterAutospacing="1" w:line="240" w:lineRule="auto"/>
    </w:pPr>
    <w:rPr>
      <w:rFonts w:ascii="Times New Roman" w:hAnsi="Times New Roman" w:eastAsia="Times New Roman" w:cs="Times New Roman"/>
      <w:kern w:val="0"/>
      <w14:ligatures w14:val="none"/>
    </w:rPr>
  </w:style>
  <w:style w:type="character" w:styleId="normaltextrun" w:customStyle="1">
    <w:name w:val="normaltextrun"/>
    <w:basedOn w:val="DefaultParagraphFont"/>
    <w:rsid w:val="003149A6"/>
  </w:style>
  <w:style w:type="character" w:styleId="eop" w:customStyle="1">
    <w:name w:val="eop"/>
    <w:basedOn w:val="DefaultParagraphFont"/>
    <w:rsid w:val="003149A6"/>
  </w:style>
  <w:style w:type="character" w:styleId="CommentReference">
    <w:name w:val="annotation reference"/>
    <w:basedOn w:val="DefaultParagraphFont"/>
    <w:uiPriority w:val="99"/>
    <w:semiHidden/>
    <w:unhideWhenUsed/>
    <w:rsid w:val="00950907"/>
    <w:rPr>
      <w:sz w:val="16"/>
      <w:szCs w:val="16"/>
    </w:rPr>
  </w:style>
  <w:style w:type="paragraph" w:styleId="CommentText">
    <w:name w:val="annotation text"/>
    <w:basedOn w:val="Normal"/>
    <w:link w:val="CommentTextChar"/>
    <w:uiPriority w:val="99"/>
    <w:unhideWhenUsed/>
    <w:rsid w:val="00950907"/>
    <w:pPr>
      <w:spacing w:line="240" w:lineRule="auto"/>
    </w:pPr>
    <w:rPr>
      <w:sz w:val="20"/>
      <w:szCs w:val="20"/>
    </w:rPr>
  </w:style>
  <w:style w:type="character" w:styleId="CommentTextChar" w:customStyle="1">
    <w:name w:val="Comment Text Char"/>
    <w:basedOn w:val="DefaultParagraphFont"/>
    <w:link w:val="CommentText"/>
    <w:uiPriority w:val="99"/>
    <w:rsid w:val="00950907"/>
    <w:rPr>
      <w:sz w:val="20"/>
      <w:szCs w:val="20"/>
    </w:rPr>
  </w:style>
  <w:style w:type="paragraph" w:styleId="CommentSubject">
    <w:name w:val="annotation subject"/>
    <w:basedOn w:val="CommentText"/>
    <w:next w:val="CommentText"/>
    <w:link w:val="CommentSubjectChar"/>
    <w:uiPriority w:val="99"/>
    <w:semiHidden/>
    <w:unhideWhenUsed/>
    <w:rsid w:val="00950907"/>
    <w:rPr>
      <w:b/>
      <w:bCs/>
    </w:rPr>
  </w:style>
  <w:style w:type="character" w:styleId="CommentSubjectChar" w:customStyle="1">
    <w:name w:val="Comment Subject Char"/>
    <w:basedOn w:val="CommentTextChar"/>
    <w:link w:val="CommentSubject"/>
    <w:uiPriority w:val="99"/>
    <w:semiHidden/>
    <w:rsid w:val="00950907"/>
    <w:rPr>
      <w:b/>
      <w:bCs/>
      <w:sz w:val="20"/>
      <w:szCs w:val="20"/>
    </w:rPr>
  </w:style>
  <w:style w:type="character" w:styleId="Hyperlink">
    <w:name w:val="Hyperlink"/>
    <w:basedOn w:val="DefaultParagraphFont"/>
    <w:uiPriority w:val="99"/>
    <w:unhideWhenUsed/>
    <w:rsid w:val="003E0597"/>
    <w:rPr>
      <w:color w:val="467886" w:themeColor="hyperlink"/>
      <w:u w:val="single"/>
    </w:rPr>
  </w:style>
  <w:style w:type="character" w:styleId="relative" w:customStyle="1">
    <w:name w:val="relative"/>
    <w:basedOn w:val="DefaultParagraphFont"/>
    <w:rsid w:val="00C0454E"/>
  </w:style>
  <w:style w:type="character" w:styleId="UnresolvedMention">
    <w:name w:val="Unresolved Mention"/>
    <w:basedOn w:val="DefaultParagraphFont"/>
    <w:uiPriority w:val="99"/>
    <w:semiHidden/>
    <w:unhideWhenUsed/>
    <w:rsid w:val="00704A4C"/>
    <w:rPr>
      <w:color w:val="605E5C"/>
      <w:shd w:val="clear" w:color="auto" w:fill="E1DFDD"/>
    </w:rPr>
  </w:style>
  <w:style w:type="paragraph" w:styleId="NormalWeb">
    <w:name w:val="Normal (Web)"/>
    <w:basedOn w:val="Normal"/>
    <w:uiPriority w:val="99"/>
    <w:unhideWhenUsed/>
    <w:rsid w:val="002660BE"/>
    <w:pPr>
      <w:spacing w:before="100" w:beforeAutospacing="1" w:after="100" w:afterAutospacing="1" w:line="240" w:lineRule="auto"/>
    </w:pPr>
    <w:rPr>
      <w:rFonts w:ascii="Times New Roman" w:hAnsi="Times New Roman" w:eastAsia="Times New Roman" w:cs="Times New Roman"/>
      <w:kern w:val="0"/>
      <w:lang w:val="en-US"/>
      <w14:ligatures w14:val="none"/>
    </w:rPr>
  </w:style>
  <w:style w:type="character" w:styleId="Strong">
    <w:name w:val="Strong"/>
    <w:basedOn w:val="DefaultParagraphFont"/>
    <w:uiPriority w:val="22"/>
    <w:qFormat/>
    <w:rsid w:val="001D1EC2"/>
    <w:rPr>
      <w:b/>
      <w:bCs/>
    </w:rPr>
  </w:style>
  <w:style w:type="table" w:styleId="TableGrid">
    <w:name w:val="Table Grid"/>
    <w:basedOn w:val="TableNormal"/>
    <w:uiPriority w:val="39"/>
    <w:rsid w:val="00861F2A"/>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GridTable3">
    <w:name w:val="Grid Table 3"/>
    <w:basedOn w:val="TableNormal"/>
    <w:uiPriority w:val="48"/>
    <w:rsid w:val="00302B2F"/>
    <w:pPr>
      <w:spacing w:after="0" w:line="240" w:lineRule="auto"/>
    </w:pPr>
    <w:tblPr>
      <w:tblStyleRowBandSize w:val="1"/>
      <w:tblStyleColBandSize w:val="1"/>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color="666666" w:themeColor="text1" w:themeTint="99" w:sz="4" w:space="0"/>
        </w:tcBorders>
      </w:tcPr>
    </w:tblStylePr>
    <w:tblStylePr w:type="nwCell">
      <w:tblPr/>
      <w:tcPr>
        <w:tcBorders>
          <w:bottom w:val="single" w:color="666666" w:themeColor="text1" w:themeTint="99" w:sz="4" w:space="0"/>
        </w:tcBorders>
      </w:tcPr>
    </w:tblStylePr>
    <w:tblStylePr w:type="seCell">
      <w:tblPr/>
      <w:tcPr>
        <w:tcBorders>
          <w:top w:val="single" w:color="666666" w:themeColor="text1" w:themeTint="99" w:sz="4" w:space="0"/>
        </w:tcBorders>
      </w:tcPr>
    </w:tblStylePr>
    <w:tblStylePr w:type="swCell">
      <w:tblPr/>
      <w:tcPr>
        <w:tcBorders>
          <w:top w:val="single" w:color="666666" w:themeColor="text1" w:themeTint="99" w:sz="4" w:space="0"/>
        </w:tcBorders>
      </w:tcPr>
    </w:tblStylePr>
  </w:style>
  <w:style w:type="table" w:styleId="GridTable4">
    <w:name w:val="Grid Table 4"/>
    <w:basedOn w:val="TableNormal"/>
    <w:uiPriority w:val="49"/>
    <w:rsid w:val="001905A4"/>
    <w:pPr>
      <w:spacing w:after="0" w:line="240" w:lineRule="auto"/>
    </w:pPr>
    <w:tblPr>
      <w:tblStyleRowBandSize w:val="1"/>
      <w:tblStyleColBandSize w:val="1"/>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color w:val="FFFFFF" w:themeColor="background1"/>
      </w:rPr>
      <w:tblPr/>
      <w:tcPr>
        <w:tcBorders>
          <w:top w:val="single" w:color="000000" w:themeColor="text1" w:sz="4" w:space="0"/>
          <w:left w:val="single" w:color="000000" w:themeColor="text1" w:sz="4" w:space="0"/>
          <w:bottom w:val="single" w:color="000000" w:themeColor="text1" w:sz="4" w:space="0"/>
          <w:right w:val="single" w:color="000000" w:themeColor="text1" w:sz="4" w:space="0"/>
          <w:insideH w:val="nil"/>
          <w:insideV w:val="nil"/>
        </w:tcBorders>
        <w:shd w:val="clear" w:color="auto" w:fill="000000" w:themeFill="text1"/>
      </w:tcPr>
    </w:tblStylePr>
    <w:tblStylePr w:type="lastRow">
      <w:rPr>
        <w:b/>
        <w:bCs/>
      </w:rPr>
      <w:tblPr/>
      <w:tcPr>
        <w:tcBorders>
          <w:top w:val="double" w:color="000000" w:themeColor="text1" w:sz="4" w:space="0"/>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5Dark">
    <w:name w:val="Grid Table 5 Dark"/>
    <w:basedOn w:val="TableNormal"/>
    <w:uiPriority w:val="50"/>
    <w:rsid w:val="001905A4"/>
    <w:pPr>
      <w:spacing w:after="0" w:line="240" w:lineRule="auto"/>
    </w:pPr>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CCCCCC" w:themeFill="text1"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000000" w:themeFill="text1"/>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000000" w:themeFill="text1"/>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000000" w:themeFill="text1"/>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6Colorful">
    <w:name w:val="Grid Table 6 Colorful"/>
    <w:basedOn w:val="TableNormal"/>
    <w:uiPriority w:val="51"/>
    <w:rsid w:val="001905A4"/>
    <w:pPr>
      <w:spacing w:after="0" w:line="240" w:lineRule="auto"/>
    </w:pPr>
    <w:rPr>
      <w:color w:val="000000" w:themeColor="text1"/>
    </w:rPr>
    <w:tblPr>
      <w:tblStyleRowBandSize w:val="1"/>
      <w:tblStyleColBandSize w:val="1"/>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rPr>
      <w:tblPr/>
      <w:tcPr>
        <w:tcBorders>
          <w:bottom w:val="single" w:color="666666" w:themeColor="text1" w:themeTint="99" w:sz="12" w:space="0"/>
        </w:tcBorders>
      </w:tcPr>
    </w:tblStylePr>
    <w:tblStylePr w:type="lastRow">
      <w:rPr>
        <w:b/>
        <w:bCs/>
      </w:rPr>
      <w:tblPr/>
      <w:tcPr>
        <w:tcBorders>
          <w:top w:val="double" w:color="666666" w:themeColor="text1" w:themeTint="99" w:sz="4" w:space="0"/>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apple-converted-space" w:customStyle="1">
    <w:name w:val="apple-converted-space"/>
    <w:basedOn w:val="DefaultParagraphFont"/>
    <w:rsid w:val="00724CD1"/>
  </w:style>
  <w:style w:type="paragraph" w:styleId="whitespace-pre-wrap" w:customStyle="1">
    <w:name w:val="whitespace-pre-wrap"/>
    <w:basedOn w:val="Normal"/>
    <w:rsid w:val="00722FA4"/>
    <w:pPr>
      <w:spacing w:before="100" w:beforeAutospacing="1" w:after="100" w:afterAutospacing="1" w:line="240" w:lineRule="auto"/>
    </w:pPr>
    <w:rPr>
      <w:rFonts w:ascii="Times New Roman" w:hAnsi="Times New Roman" w:eastAsia="Times New Roman" w:cs="Times New Roman"/>
      <w:kern w:val="0"/>
      <w14:ligatures w14:val="none"/>
    </w:rPr>
  </w:style>
  <w:style w:type="character" w:styleId="Emphasis">
    <w:name w:val="Emphasis"/>
    <w:basedOn w:val="DefaultParagraphFont"/>
    <w:uiPriority w:val="20"/>
    <w:qFormat/>
    <w:rsid w:val="00F17E57"/>
    <w:rPr>
      <w:i/>
      <w:iCs/>
    </w:rPr>
  </w:style>
  <w:style w:type="character" w:styleId="overflow-hidden" w:customStyle="1">
    <w:name w:val="overflow-hidden"/>
    <w:basedOn w:val="DefaultParagraphFont"/>
    <w:rsid w:val="00A018E2"/>
  </w:style>
  <w:style w:type="paragraph" w:styleId="Header">
    <w:name w:val="header"/>
    <w:basedOn w:val="Normal"/>
    <w:link w:val="HeaderChar"/>
    <w:uiPriority w:val="99"/>
    <w:unhideWhenUsed/>
    <w:rsid w:val="00EC1EE6"/>
    <w:pPr>
      <w:tabs>
        <w:tab w:val="center" w:pos="4680"/>
        <w:tab w:val="right" w:pos="9360"/>
      </w:tabs>
      <w:spacing w:after="0" w:line="240" w:lineRule="auto"/>
    </w:pPr>
  </w:style>
  <w:style w:type="character" w:styleId="HeaderChar" w:customStyle="1">
    <w:name w:val="Header Char"/>
    <w:basedOn w:val="DefaultParagraphFont"/>
    <w:link w:val="Header"/>
    <w:uiPriority w:val="99"/>
    <w:rsid w:val="00EC1EE6"/>
  </w:style>
  <w:style w:type="paragraph" w:styleId="Footer">
    <w:name w:val="footer"/>
    <w:basedOn w:val="Normal"/>
    <w:link w:val="FooterChar"/>
    <w:uiPriority w:val="99"/>
    <w:unhideWhenUsed/>
    <w:rsid w:val="00EC1EE6"/>
    <w:pPr>
      <w:tabs>
        <w:tab w:val="center" w:pos="4680"/>
        <w:tab w:val="right" w:pos="9360"/>
      </w:tabs>
      <w:spacing w:after="0" w:line="240" w:lineRule="auto"/>
    </w:pPr>
  </w:style>
  <w:style w:type="character" w:styleId="FooterChar" w:customStyle="1">
    <w:name w:val="Footer Char"/>
    <w:basedOn w:val="DefaultParagraphFont"/>
    <w:link w:val="Footer"/>
    <w:uiPriority w:val="99"/>
    <w:rsid w:val="00EC1EE6"/>
  </w:style>
  <w:style w:type="paragraph" w:styleId="Bibliography">
    <w:name w:val="Bibliography"/>
    <w:basedOn w:val="Normal"/>
    <w:next w:val="Normal"/>
    <w:uiPriority w:val="37"/>
    <w:unhideWhenUsed/>
    <w:rsid w:val="008126D0"/>
    <w:pPr>
      <w:tabs>
        <w:tab w:val="left" w:pos="504"/>
      </w:tabs>
      <w:spacing w:after="240" w:line="240" w:lineRule="auto"/>
      <w:ind w:left="504" w:hanging="50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8566772">
      <w:bodyDiv w:val="1"/>
      <w:marLeft w:val="0"/>
      <w:marRight w:val="0"/>
      <w:marTop w:val="0"/>
      <w:marBottom w:val="0"/>
      <w:divBdr>
        <w:top w:val="none" w:sz="0" w:space="0" w:color="auto"/>
        <w:left w:val="none" w:sz="0" w:space="0" w:color="auto"/>
        <w:bottom w:val="none" w:sz="0" w:space="0" w:color="auto"/>
        <w:right w:val="none" w:sz="0" w:space="0" w:color="auto"/>
      </w:divBdr>
      <w:divsChild>
        <w:div w:id="80378267">
          <w:marLeft w:val="0"/>
          <w:marRight w:val="0"/>
          <w:marTop w:val="0"/>
          <w:marBottom w:val="0"/>
          <w:divBdr>
            <w:top w:val="none" w:sz="0" w:space="0" w:color="auto"/>
            <w:left w:val="none" w:sz="0" w:space="0" w:color="auto"/>
            <w:bottom w:val="none" w:sz="0" w:space="0" w:color="auto"/>
            <w:right w:val="none" w:sz="0" w:space="0" w:color="auto"/>
          </w:divBdr>
        </w:div>
        <w:div w:id="362364057">
          <w:marLeft w:val="0"/>
          <w:marRight w:val="0"/>
          <w:marTop w:val="0"/>
          <w:marBottom w:val="0"/>
          <w:divBdr>
            <w:top w:val="none" w:sz="0" w:space="0" w:color="auto"/>
            <w:left w:val="none" w:sz="0" w:space="0" w:color="auto"/>
            <w:bottom w:val="none" w:sz="0" w:space="0" w:color="auto"/>
            <w:right w:val="none" w:sz="0" w:space="0" w:color="auto"/>
          </w:divBdr>
        </w:div>
        <w:div w:id="621545911">
          <w:marLeft w:val="0"/>
          <w:marRight w:val="0"/>
          <w:marTop w:val="0"/>
          <w:marBottom w:val="0"/>
          <w:divBdr>
            <w:top w:val="none" w:sz="0" w:space="0" w:color="auto"/>
            <w:left w:val="none" w:sz="0" w:space="0" w:color="auto"/>
            <w:bottom w:val="none" w:sz="0" w:space="0" w:color="auto"/>
            <w:right w:val="none" w:sz="0" w:space="0" w:color="auto"/>
          </w:divBdr>
        </w:div>
        <w:div w:id="638606682">
          <w:marLeft w:val="0"/>
          <w:marRight w:val="0"/>
          <w:marTop w:val="0"/>
          <w:marBottom w:val="0"/>
          <w:divBdr>
            <w:top w:val="none" w:sz="0" w:space="0" w:color="auto"/>
            <w:left w:val="none" w:sz="0" w:space="0" w:color="auto"/>
            <w:bottom w:val="none" w:sz="0" w:space="0" w:color="auto"/>
            <w:right w:val="none" w:sz="0" w:space="0" w:color="auto"/>
          </w:divBdr>
        </w:div>
        <w:div w:id="733773189">
          <w:marLeft w:val="0"/>
          <w:marRight w:val="0"/>
          <w:marTop w:val="0"/>
          <w:marBottom w:val="0"/>
          <w:divBdr>
            <w:top w:val="none" w:sz="0" w:space="0" w:color="auto"/>
            <w:left w:val="none" w:sz="0" w:space="0" w:color="auto"/>
            <w:bottom w:val="none" w:sz="0" w:space="0" w:color="auto"/>
            <w:right w:val="none" w:sz="0" w:space="0" w:color="auto"/>
          </w:divBdr>
        </w:div>
        <w:div w:id="992366414">
          <w:marLeft w:val="0"/>
          <w:marRight w:val="0"/>
          <w:marTop w:val="0"/>
          <w:marBottom w:val="0"/>
          <w:divBdr>
            <w:top w:val="none" w:sz="0" w:space="0" w:color="auto"/>
            <w:left w:val="none" w:sz="0" w:space="0" w:color="auto"/>
            <w:bottom w:val="none" w:sz="0" w:space="0" w:color="auto"/>
            <w:right w:val="none" w:sz="0" w:space="0" w:color="auto"/>
          </w:divBdr>
        </w:div>
        <w:div w:id="1107120562">
          <w:marLeft w:val="0"/>
          <w:marRight w:val="0"/>
          <w:marTop w:val="0"/>
          <w:marBottom w:val="0"/>
          <w:divBdr>
            <w:top w:val="none" w:sz="0" w:space="0" w:color="auto"/>
            <w:left w:val="none" w:sz="0" w:space="0" w:color="auto"/>
            <w:bottom w:val="none" w:sz="0" w:space="0" w:color="auto"/>
            <w:right w:val="none" w:sz="0" w:space="0" w:color="auto"/>
          </w:divBdr>
        </w:div>
        <w:div w:id="1470053378">
          <w:marLeft w:val="0"/>
          <w:marRight w:val="0"/>
          <w:marTop w:val="0"/>
          <w:marBottom w:val="0"/>
          <w:divBdr>
            <w:top w:val="none" w:sz="0" w:space="0" w:color="auto"/>
            <w:left w:val="none" w:sz="0" w:space="0" w:color="auto"/>
            <w:bottom w:val="none" w:sz="0" w:space="0" w:color="auto"/>
            <w:right w:val="none" w:sz="0" w:space="0" w:color="auto"/>
          </w:divBdr>
        </w:div>
        <w:div w:id="1591234372">
          <w:marLeft w:val="0"/>
          <w:marRight w:val="0"/>
          <w:marTop w:val="0"/>
          <w:marBottom w:val="0"/>
          <w:divBdr>
            <w:top w:val="none" w:sz="0" w:space="0" w:color="auto"/>
            <w:left w:val="none" w:sz="0" w:space="0" w:color="auto"/>
            <w:bottom w:val="none" w:sz="0" w:space="0" w:color="auto"/>
            <w:right w:val="none" w:sz="0" w:space="0" w:color="auto"/>
          </w:divBdr>
        </w:div>
        <w:div w:id="1900166416">
          <w:marLeft w:val="0"/>
          <w:marRight w:val="0"/>
          <w:marTop w:val="0"/>
          <w:marBottom w:val="0"/>
          <w:divBdr>
            <w:top w:val="none" w:sz="0" w:space="0" w:color="auto"/>
            <w:left w:val="none" w:sz="0" w:space="0" w:color="auto"/>
            <w:bottom w:val="none" w:sz="0" w:space="0" w:color="auto"/>
            <w:right w:val="none" w:sz="0" w:space="0" w:color="auto"/>
          </w:divBdr>
        </w:div>
      </w:divsChild>
    </w:div>
    <w:div w:id="194001151">
      <w:bodyDiv w:val="1"/>
      <w:marLeft w:val="0"/>
      <w:marRight w:val="0"/>
      <w:marTop w:val="0"/>
      <w:marBottom w:val="0"/>
      <w:divBdr>
        <w:top w:val="none" w:sz="0" w:space="0" w:color="auto"/>
        <w:left w:val="none" w:sz="0" w:space="0" w:color="auto"/>
        <w:bottom w:val="none" w:sz="0" w:space="0" w:color="auto"/>
        <w:right w:val="none" w:sz="0" w:space="0" w:color="auto"/>
      </w:divBdr>
      <w:divsChild>
        <w:div w:id="35551118">
          <w:marLeft w:val="0"/>
          <w:marRight w:val="0"/>
          <w:marTop w:val="0"/>
          <w:marBottom w:val="0"/>
          <w:divBdr>
            <w:top w:val="none" w:sz="0" w:space="0" w:color="auto"/>
            <w:left w:val="none" w:sz="0" w:space="0" w:color="auto"/>
            <w:bottom w:val="none" w:sz="0" w:space="0" w:color="auto"/>
            <w:right w:val="none" w:sz="0" w:space="0" w:color="auto"/>
          </w:divBdr>
        </w:div>
        <w:div w:id="105851223">
          <w:marLeft w:val="0"/>
          <w:marRight w:val="0"/>
          <w:marTop w:val="0"/>
          <w:marBottom w:val="0"/>
          <w:divBdr>
            <w:top w:val="none" w:sz="0" w:space="0" w:color="auto"/>
            <w:left w:val="none" w:sz="0" w:space="0" w:color="auto"/>
            <w:bottom w:val="none" w:sz="0" w:space="0" w:color="auto"/>
            <w:right w:val="none" w:sz="0" w:space="0" w:color="auto"/>
          </w:divBdr>
        </w:div>
        <w:div w:id="118108698">
          <w:marLeft w:val="0"/>
          <w:marRight w:val="0"/>
          <w:marTop w:val="0"/>
          <w:marBottom w:val="0"/>
          <w:divBdr>
            <w:top w:val="none" w:sz="0" w:space="0" w:color="auto"/>
            <w:left w:val="none" w:sz="0" w:space="0" w:color="auto"/>
            <w:bottom w:val="none" w:sz="0" w:space="0" w:color="auto"/>
            <w:right w:val="none" w:sz="0" w:space="0" w:color="auto"/>
          </w:divBdr>
        </w:div>
        <w:div w:id="160396756">
          <w:marLeft w:val="0"/>
          <w:marRight w:val="0"/>
          <w:marTop w:val="0"/>
          <w:marBottom w:val="0"/>
          <w:divBdr>
            <w:top w:val="none" w:sz="0" w:space="0" w:color="auto"/>
            <w:left w:val="none" w:sz="0" w:space="0" w:color="auto"/>
            <w:bottom w:val="none" w:sz="0" w:space="0" w:color="auto"/>
            <w:right w:val="none" w:sz="0" w:space="0" w:color="auto"/>
          </w:divBdr>
        </w:div>
        <w:div w:id="160655975">
          <w:marLeft w:val="0"/>
          <w:marRight w:val="0"/>
          <w:marTop w:val="0"/>
          <w:marBottom w:val="0"/>
          <w:divBdr>
            <w:top w:val="none" w:sz="0" w:space="0" w:color="auto"/>
            <w:left w:val="none" w:sz="0" w:space="0" w:color="auto"/>
            <w:bottom w:val="none" w:sz="0" w:space="0" w:color="auto"/>
            <w:right w:val="none" w:sz="0" w:space="0" w:color="auto"/>
          </w:divBdr>
        </w:div>
        <w:div w:id="173959349">
          <w:marLeft w:val="0"/>
          <w:marRight w:val="0"/>
          <w:marTop w:val="0"/>
          <w:marBottom w:val="0"/>
          <w:divBdr>
            <w:top w:val="none" w:sz="0" w:space="0" w:color="auto"/>
            <w:left w:val="none" w:sz="0" w:space="0" w:color="auto"/>
            <w:bottom w:val="none" w:sz="0" w:space="0" w:color="auto"/>
            <w:right w:val="none" w:sz="0" w:space="0" w:color="auto"/>
          </w:divBdr>
        </w:div>
        <w:div w:id="299461529">
          <w:marLeft w:val="0"/>
          <w:marRight w:val="0"/>
          <w:marTop w:val="0"/>
          <w:marBottom w:val="0"/>
          <w:divBdr>
            <w:top w:val="none" w:sz="0" w:space="0" w:color="auto"/>
            <w:left w:val="none" w:sz="0" w:space="0" w:color="auto"/>
            <w:bottom w:val="none" w:sz="0" w:space="0" w:color="auto"/>
            <w:right w:val="none" w:sz="0" w:space="0" w:color="auto"/>
          </w:divBdr>
        </w:div>
        <w:div w:id="337923991">
          <w:marLeft w:val="0"/>
          <w:marRight w:val="0"/>
          <w:marTop w:val="0"/>
          <w:marBottom w:val="0"/>
          <w:divBdr>
            <w:top w:val="none" w:sz="0" w:space="0" w:color="auto"/>
            <w:left w:val="none" w:sz="0" w:space="0" w:color="auto"/>
            <w:bottom w:val="none" w:sz="0" w:space="0" w:color="auto"/>
            <w:right w:val="none" w:sz="0" w:space="0" w:color="auto"/>
          </w:divBdr>
        </w:div>
        <w:div w:id="394470507">
          <w:marLeft w:val="0"/>
          <w:marRight w:val="0"/>
          <w:marTop w:val="0"/>
          <w:marBottom w:val="0"/>
          <w:divBdr>
            <w:top w:val="none" w:sz="0" w:space="0" w:color="auto"/>
            <w:left w:val="none" w:sz="0" w:space="0" w:color="auto"/>
            <w:bottom w:val="none" w:sz="0" w:space="0" w:color="auto"/>
            <w:right w:val="none" w:sz="0" w:space="0" w:color="auto"/>
          </w:divBdr>
        </w:div>
        <w:div w:id="577256065">
          <w:marLeft w:val="0"/>
          <w:marRight w:val="0"/>
          <w:marTop w:val="0"/>
          <w:marBottom w:val="0"/>
          <w:divBdr>
            <w:top w:val="none" w:sz="0" w:space="0" w:color="auto"/>
            <w:left w:val="none" w:sz="0" w:space="0" w:color="auto"/>
            <w:bottom w:val="none" w:sz="0" w:space="0" w:color="auto"/>
            <w:right w:val="none" w:sz="0" w:space="0" w:color="auto"/>
          </w:divBdr>
        </w:div>
        <w:div w:id="585581442">
          <w:marLeft w:val="0"/>
          <w:marRight w:val="0"/>
          <w:marTop w:val="0"/>
          <w:marBottom w:val="0"/>
          <w:divBdr>
            <w:top w:val="none" w:sz="0" w:space="0" w:color="auto"/>
            <w:left w:val="none" w:sz="0" w:space="0" w:color="auto"/>
            <w:bottom w:val="none" w:sz="0" w:space="0" w:color="auto"/>
            <w:right w:val="none" w:sz="0" w:space="0" w:color="auto"/>
          </w:divBdr>
        </w:div>
        <w:div w:id="661616345">
          <w:marLeft w:val="0"/>
          <w:marRight w:val="0"/>
          <w:marTop w:val="0"/>
          <w:marBottom w:val="0"/>
          <w:divBdr>
            <w:top w:val="none" w:sz="0" w:space="0" w:color="auto"/>
            <w:left w:val="none" w:sz="0" w:space="0" w:color="auto"/>
            <w:bottom w:val="none" w:sz="0" w:space="0" w:color="auto"/>
            <w:right w:val="none" w:sz="0" w:space="0" w:color="auto"/>
          </w:divBdr>
        </w:div>
        <w:div w:id="780992972">
          <w:marLeft w:val="0"/>
          <w:marRight w:val="0"/>
          <w:marTop w:val="0"/>
          <w:marBottom w:val="0"/>
          <w:divBdr>
            <w:top w:val="none" w:sz="0" w:space="0" w:color="auto"/>
            <w:left w:val="none" w:sz="0" w:space="0" w:color="auto"/>
            <w:bottom w:val="none" w:sz="0" w:space="0" w:color="auto"/>
            <w:right w:val="none" w:sz="0" w:space="0" w:color="auto"/>
          </w:divBdr>
        </w:div>
        <w:div w:id="798454560">
          <w:marLeft w:val="0"/>
          <w:marRight w:val="0"/>
          <w:marTop w:val="0"/>
          <w:marBottom w:val="0"/>
          <w:divBdr>
            <w:top w:val="none" w:sz="0" w:space="0" w:color="auto"/>
            <w:left w:val="none" w:sz="0" w:space="0" w:color="auto"/>
            <w:bottom w:val="none" w:sz="0" w:space="0" w:color="auto"/>
            <w:right w:val="none" w:sz="0" w:space="0" w:color="auto"/>
          </w:divBdr>
        </w:div>
        <w:div w:id="892811212">
          <w:marLeft w:val="0"/>
          <w:marRight w:val="0"/>
          <w:marTop w:val="0"/>
          <w:marBottom w:val="0"/>
          <w:divBdr>
            <w:top w:val="none" w:sz="0" w:space="0" w:color="auto"/>
            <w:left w:val="none" w:sz="0" w:space="0" w:color="auto"/>
            <w:bottom w:val="none" w:sz="0" w:space="0" w:color="auto"/>
            <w:right w:val="none" w:sz="0" w:space="0" w:color="auto"/>
          </w:divBdr>
        </w:div>
        <w:div w:id="977147241">
          <w:marLeft w:val="0"/>
          <w:marRight w:val="0"/>
          <w:marTop w:val="0"/>
          <w:marBottom w:val="0"/>
          <w:divBdr>
            <w:top w:val="none" w:sz="0" w:space="0" w:color="auto"/>
            <w:left w:val="none" w:sz="0" w:space="0" w:color="auto"/>
            <w:bottom w:val="none" w:sz="0" w:space="0" w:color="auto"/>
            <w:right w:val="none" w:sz="0" w:space="0" w:color="auto"/>
          </w:divBdr>
        </w:div>
        <w:div w:id="1015612360">
          <w:marLeft w:val="0"/>
          <w:marRight w:val="0"/>
          <w:marTop w:val="0"/>
          <w:marBottom w:val="0"/>
          <w:divBdr>
            <w:top w:val="none" w:sz="0" w:space="0" w:color="auto"/>
            <w:left w:val="none" w:sz="0" w:space="0" w:color="auto"/>
            <w:bottom w:val="none" w:sz="0" w:space="0" w:color="auto"/>
            <w:right w:val="none" w:sz="0" w:space="0" w:color="auto"/>
          </w:divBdr>
        </w:div>
        <w:div w:id="1097867070">
          <w:marLeft w:val="0"/>
          <w:marRight w:val="0"/>
          <w:marTop w:val="0"/>
          <w:marBottom w:val="0"/>
          <w:divBdr>
            <w:top w:val="none" w:sz="0" w:space="0" w:color="auto"/>
            <w:left w:val="none" w:sz="0" w:space="0" w:color="auto"/>
            <w:bottom w:val="none" w:sz="0" w:space="0" w:color="auto"/>
            <w:right w:val="none" w:sz="0" w:space="0" w:color="auto"/>
          </w:divBdr>
        </w:div>
        <w:div w:id="1169906011">
          <w:marLeft w:val="0"/>
          <w:marRight w:val="0"/>
          <w:marTop w:val="0"/>
          <w:marBottom w:val="0"/>
          <w:divBdr>
            <w:top w:val="none" w:sz="0" w:space="0" w:color="auto"/>
            <w:left w:val="none" w:sz="0" w:space="0" w:color="auto"/>
            <w:bottom w:val="none" w:sz="0" w:space="0" w:color="auto"/>
            <w:right w:val="none" w:sz="0" w:space="0" w:color="auto"/>
          </w:divBdr>
        </w:div>
        <w:div w:id="1189022417">
          <w:marLeft w:val="0"/>
          <w:marRight w:val="0"/>
          <w:marTop w:val="0"/>
          <w:marBottom w:val="0"/>
          <w:divBdr>
            <w:top w:val="none" w:sz="0" w:space="0" w:color="auto"/>
            <w:left w:val="none" w:sz="0" w:space="0" w:color="auto"/>
            <w:bottom w:val="none" w:sz="0" w:space="0" w:color="auto"/>
            <w:right w:val="none" w:sz="0" w:space="0" w:color="auto"/>
          </w:divBdr>
        </w:div>
        <w:div w:id="1600985781">
          <w:marLeft w:val="0"/>
          <w:marRight w:val="0"/>
          <w:marTop w:val="0"/>
          <w:marBottom w:val="0"/>
          <w:divBdr>
            <w:top w:val="none" w:sz="0" w:space="0" w:color="auto"/>
            <w:left w:val="none" w:sz="0" w:space="0" w:color="auto"/>
            <w:bottom w:val="none" w:sz="0" w:space="0" w:color="auto"/>
            <w:right w:val="none" w:sz="0" w:space="0" w:color="auto"/>
          </w:divBdr>
        </w:div>
        <w:div w:id="1683358751">
          <w:marLeft w:val="0"/>
          <w:marRight w:val="0"/>
          <w:marTop w:val="0"/>
          <w:marBottom w:val="0"/>
          <w:divBdr>
            <w:top w:val="none" w:sz="0" w:space="0" w:color="auto"/>
            <w:left w:val="none" w:sz="0" w:space="0" w:color="auto"/>
            <w:bottom w:val="none" w:sz="0" w:space="0" w:color="auto"/>
            <w:right w:val="none" w:sz="0" w:space="0" w:color="auto"/>
          </w:divBdr>
        </w:div>
        <w:div w:id="1699425053">
          <w:marLeft w:val="0"/>
          <w:marRight w:val="0"/>
          <w:marTop w:val="0"/>
          <w:marBottom w:val="0"/>
          <w:divBdr>
            <w:top w:val="none" w:sz="0" w:space="0" w:color="auto"/>
            <w:left w:val="none" w:sz="0" w:space="0" w:color="auto"/>
            <w:bottom w:val="none" w:sz="0" w:space="0" w:color="auto"/>
            <w:right w:val="none" w:sz="0" w:space="0" w:color="auto"/>
          </w:divBdr>
        </w:div>
        <w:div w:id="1718972276">
          <w:marLeft w:val="0"/>
          <w:marRight w:val="0"/>
          <w:marTop w:val="0"/>
          <w:marBottom w:val="0"/>
          <w:divBdr>
            <w:top w:val="none" w:sz="0" w:space="0" w:color="auto"/>
            <w:left w:val="none" w:sz="0" w:space="0" w:color="auto"/>
            <w:bottom w:val="none" w:sz="0" w:space="0" w:color="auto"/>
            <w:right w:val="none" w:sz="0" w:space="0" w:color="auto"/>
          </w:divBdr>
        </w:div>
        <w:div w:id="1793985752">
          <w:marLeft w:val="0"/>
          <w:marRight w:val="0"/>
          <w:marTop w:val="0"/>
          <w:marBottom w:val="0"/>
          <w:divBdr>
            <w:top w:val="none" w:sz="0" w:space="0" w:color="auto"/>
            <w:left w:val="none" w:sz="0" w:space="0" w:color="auto"/>
            <w:bottom w:val="none" w:sz="0" w:space="0" w:color="auto"/>
            <w:right w:val="none" w:sz="0" w:space="0" w:color="auto"/>
          </w:divBdr>
        </w:div>
        <w:div w:id="1864780360">
          <w:marLeft w:val="0"/>
          <w:marRight w:val="0"/>
          <w:marTop w:val="0"/>
          <w:marBottom w:val="0"/>
          <w:divBdr>
            <w:top w:val="none" w:sz="0" w:space="0" w:color="auto"/>
            <w:left w:val="none" w:sz="0" w:space="0" w:color="auto"/>
            <w:bottom w:val="none" w:sz="0" w:space="0" w:color="auto"/>
            <w:right w:val="none" w:sz="0" w:space="0" w:color="auto"/>
          </w:divBdr>
        </w:div>
        <w:div w:id="2092850895">
          <w:marLeft w:val="0"/>
          <w:marRight w:val="0"/>
          <w:marTop w:val="0"/>
          <w:marBottom w:val="0"/>
          <w:divBdr>
            <w:top w:val="none" w:sz="0" w:space="0" w:color="auto"/>
            <w:left w:val="none" w:sz="0" w:space="0" w:color="auto"/>
            <w:bottom w:val="none" w:sz="0" w:space="0" w:color="auto"/>
            <w:right w:val="none" w:sz="0" w:space="0" w:color="auto"/>
          </w:divBdr>
        </w:div>
        <w:div w:id="2122608153">
          <w:marLeft w:val="0"/>
          <w:marRight w:val="0"/>
          <w:marTop w:val="0"/>
          <w:marBottom w:val="0"/>
          <w:divBdr>
            <w:top w:val="none" w:sz="0" w:space="0" w:color="auto"/>
            <w:left w:val="none" w:sz="0" w:space="0" w:color="auto"/>
            <w:bottom w:val="none" w:sz="0" w:space="0" w:color="auto"/>
            <w:right w:val="none" w:sz="0" w:space="0" w:color="auto"/>
          </w:divBdr>
        </w:div>
      </w:divsChild>
    </w:div>
    <w:div w:id="393234553">
      <w:bodyDiv w:val="1"/>
      <w:marLeft w:val="0"/>
      <w:marRight w:val="0"/>
      <w:marTop w:val="0"/>
      <w:marBottom w:val="0"/>
      <w:divBdr>
        <w:top w:val="none" w:sz="0" w:space="0" w:color="auto"/>
        <w:left w:val="none" w:sz="0" w:space="0" w:color="auto"/>
        <w:bottom w:val="none" w:sz="0" w:space="0" w:color="auto"/>
        <w:right w:val="none" w:sz="0" w:space="0" w:color="auto"/>
      </w:divBdr>
      <w:divsChild>
        <w:div w:id="1810125170">
          <w:marLeft w:val="0"/>
          <w:marRight w:val="0"/>
          <w:marTop w:val="0"/>
          <w:marBottom w:val="0"/>
          <w:divBdr>
            <w:top w:val="none" w:sz="0" w:space="0" w:color="auto"/>
            <w:left w:val="none" w:sz="0" w:space="0" w:color="auto"/>
            <w:bottom w:val="none" w:sz="0" w:space="0" w:color="auto"/>
            <w:right w:val="none" w:sz="0" w:space="0" w:color="auto"/>
          </w:divBdr>
          <w:divsChild>
            <w:div w:id="1751002895">
              <w:marLeft w:val="0"/>
              <w:marRight w:val="0"/>
              <w:marTop w:val="0"/>
              <w:marBottom w:val="0"/>
              <w:divBdr>
                <w:top w:val="none" w:sz="0" w:space="0" w:color="auto"/>
                <w:left w:val="none" w:sz="0" w:space="0" w:color="auto"/>
                <w:bottom w:val="none" w:sz="0" w:space="0" w:color="auto"/>
                <w:right w:val="none" w:sz="0" w:space="0" w:color="auto"/>
              </w:divBdr>
              <w:divsChild>
                <w:div w:id="1161392045">
                  <w:marLeft w:val="0"/>
                  <w:marRight w:val="0"/>
                  <w:marTop w:val="0"/>
                  <w:marBottom w:val="0"/>
                  <w:divBdr>
                    <w:top w:val="none" w:sz="0" w:space="0" w:color="auto"/>
                    <w:left w:val="none" w:sz="0" w:space="0" w:color="auto"/>
                    <w:bottom w:val="none" w:sz="0" w:space="0" w:color="auto"/>
                    <w:right w:val="none" w:sz="0" w:space="0" w:color="auto"/>
                  </w:divBdr>
                  <w:divsChild>
                    <w:div w:id="723599133">
                      <w:marLeft w:val="0"/>
                      <w:marRight w:val="0"/>
                      <w:marTop w:val="0"/>
                      <w:marBottom w:val="0"/>
                      <w:divBdr>
                        <w:top w:val="none" w:sz="0" w:space="0" w:color="auto"/>
                        <w:left w:val="none" w:sz="0" w:space="0" w:color="auto"/>
                        <w:bottom w:val="none" w:sz="0" w:space="0" w:color="auto"/>
                        <w:right w:val="none" w:sz="0" w:space="0" w:color="auto"/>
                      </w:divBdr>
                      <w:divsChild>
                        <w:div w:id="845637413">
                          <w:marLeft w:val="0"/>
                          <w:marRight w:val="0"/>
                          <w:marTop w:val="0"/>
                          <w:marBottom w:val="0"/>
                          <w:divBdr>
                            <w:top w:val="none" w:sz="0" w:space="0" w:color="auto"/>
                            <w:left w:val="none" w:sz="0" w:space="0" w:color="auto"/>
                            <w:bottom w:val="none" w:sz="0" w:space="0" w:color="auto"/>
                            <w:right w:val="none" w:sz="0" w:space="0" w:color="auto"/>
                          </w:divBdr>
                          <w:divsChild>
                            <w:div w:id="1462965831">
                              <w:marLeft w:val="0"/>
                              <w:marRight w:val="0"/>
                              <w:marTop w:val="0"/>
                              <w:marBottom w:val="0"/>
                              <w:divBdr>
                                <w:top w:val="none" w:sz="0" w:space="0" w:color="auto"/>
                                <w:left w:val="none" w:sz="0" w:space="0" w:color="auto"/>
                                <w:bottom w:val="none" w:sz="0" w:space="0" w:color="auto"/>
                                <w:right w:val="none" w:sz="0" w:space="0" w:color="auto"/>
                              </w:divBdr>
                              <w:divsChild>
                                <w:div w:id="2038121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511493">
                          <w:marLeft w:val="0"/>
                          <w:marRight w:val="0"/>
                          <w:marTop w:val="0"/>
                          <w:marBottom w:val="0"/>
                          <w:divBdr>
                            <w:top w:val="none" w:sz="0" w:space="0" w:color="auto"/>
                            <w:left w:val="none" w:sz="0" w:space="0" w:color="auto"/>
                            <w:bottom w:val="none" w:sz="0" w:space="0" w:color="auto"/>
                            <w:right w:val="none" w:sz="0" w:space="0" w:color="auto"/>
                          </w:divBdr>
                          <w:divsChild>
                            <w:div w:id="452870842">
                              <w:marLeft w:val="0"/>
                              <w:marRight w:val="0"/>
                              <w:marTop w:val="0"/>
                              <w:marBottom w:val="0"/>
                              <w:divBdr>
                                <w:top w:val="none" w:sz="0" w:space="0" w:color="auto"/>
                                <w:left w:val="none" w:sz="0" w:space="0" w:color="auto"/>
                                <w:bottom w:val="none" w:sz="0" w:space="0" w:color="auto"/>
                                <w:right w:val="none" w:sz="0" w:space="0" w:color="auto"/>
                              </w:divBdr>
                              <w:divsChild>
                                <w:div w:id="362874791">
                                  <w:marLeft w:val="0"/>
                                  <w:marRight w:val="0"/>
                                  <w:marTop w:val="0"/>
                                  <w:marBottom w:val="0"/>
                                  <w:divBdr>
                                    <w:top w:val="none" w:sz="0" w:space="0" w:color="auto"/>
                                    <w:left w:val="none" w:sz="0" w:space="0" w:color="auto"/>
                                    <w:bottom w:val="none" w:sz="0" w:space="0" w:color="auto"/>
                                    <w:right w:val="none" w:sz="0" w:space="0" w:color="auto"/>
                                  </w:divBdr>
                                  <w:divsChild>
                                    <w:div w:id="70199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36547308">
      <w:bodyDiv w:val="1"/>
      <w:marLeft w:val="0"/>
      <w:marRight w:val="0"/>
      <w:marTop w:val="0"/>
      <w:marBottom w:val="0"/>
      <w:divBdr>
        <w:top w:val="none" w:sz="0" w:space="0" w:color="auto"/>
        <w:left w:val="none" w:sz="0" w:space="0" w:color="auto"/>
        <w:bottom w:val="none" w:sz="0" w:space="0" w:color="auto"/>
        <w:right w:val="none" w:sz="0" w:space="0" w:color="auto"/>
      </w:divBdr>
    </w:div>
    <w:div w:id="698043458">
      <w:bodyDiv w:val="1"/>
      <w:marLeft w:val="0"/>
      <w:marRight w:val="0"/>
      <w:marTop w:val="0"/>
      <w:marBottom w:val="0"/>
      <w:divBdr>
        <w:top w:val="none" w:sz="0" w:space="0" w:color="auto"/>
        <w:left w:val="none" w:sz="0" w:space="0" w:color="auto"/>
        <w:bottom w:val="none" w:sz="0" w:space="0" w:color="auto"/>
        <w:right w:val="none" w:sz="0" w:space="0" w:color="auto"/>
      </w:divBdr>
    </w:div>
    <w:div w:id="718211819">
      <w:bodyDiv w:val="1"/>
      <w:marLeft w:val="0"/>
      <w:marRight w:val="0"/>
      <w:marTop w:val="0"/>
      <w:marBottom w:val="0"/>
      <w:divBdr>
        <w:top w:val="none" w:sz="0" w:space="0" w:color="auto"/>
        <w:left w:val="none" w:sz="0" w:space="0" w:color="auto"/>
        <w:bottom w:val="none" w:sz="0" w:space="0" w:color="auto"/>
        <w:right w:val="none" w:sz="0" w:space="0" w:color="auto"/>
      </w:divBdr>
    </w:div>
    <w:div w:id="733315039">
      <w:bodyDiv w:val="1"/>
      <w:marLeft w:val="0"/>
      <w:marRight w:val="0"/>
      <w:marTop w:val="0"/>
      <w:marBottom w:val="0"/>
      <w:divBdr>
        <w:top w:val="none" w:sz="0" w:space="0" w:color="auto"/>
        <w:left w:val="none" w:sz="0" w:space="0" w:color="auto"/>
        <w:bottom w:val="none" w:sz="0" w:space="0" w:color="auto"/>
        <w:right w:val="none" w:sz="0" w:space="0" w:color="auto"/>
      </w:divBdr>
    </w:div>
    <w:div w:id="733965597">
      <w:bodyDiv w:val="1"/>
      <w:marLeft w:val="0"/>
      <w:marRight w:val="0"/>
      <w:marTop w:val="0"/>
      <w:marBottom w:val="0"/>
      <w:divBdr>
        <w:top w:val="none" w:sz="0" w:space="0" w:color="auto"/>
        <w:left w:val="none" w:sz="0" w:space="0" w:color="auto"/>
        <w:bottom w:val="none" w:sz="0" w:space="0" w:color="auto"/>
        <w:right w:val="none" w:sz="0" w:space="0" w:color="auto"/>
      </w:divBdr>
      <w:divsChild>
        <w:div w:id="193353374">
          <w:marLeft w:val="0"/>
          <w:marRight w:val="0"/>
          <w:marTop w:val="0"/>
          <w:marBottom w:val="0"/>
          <w:divBdr>
            <w:top w:val="none" w:sz="0" w:space="0" w:color="auto"/>
            <w:left w:val="none" w:sz="0" w:space="0" w:color="auto"/>
            <w:bottom w:val="none" w:sz="0" w:space="0" w:color="auto"/>
            <w:right w:val="none" w:sz="0" w:space="0" w:color="auto"/>
          </w:divBdr>
          <w:divsChild>
            <w:div w:id="137309157">
              <w:marLeft w:val="0"/>
              <w:marRight w:val="0"/>
              <w:marTop w:val="0"/>
              <w:marBottom w:val="0"/>
              <w:divBdr>
                <w:top w:val="none" w:sz="0" w:space="0" w:color="auto"/>
                <w:left w:val="none" w:sz="0" w:space="0" w:color="auto"/>
                <w:bottom w:val="none" w:sz="0" w:space="0" w:color="auto"/>
                <w:right w:val="none" w:sz="0" w:space="0" w:color="auto"/>
              </w:divBdr>
            </w:div>
            <w:div w:id="144863849">
              <w:marLeft w:val="0"/>
              <w:marRight w:val="0"/>
              <w:marTop w:val="0"/>
              <w:marBottom w:val="0"/>
              <w:divBdr>
                <w:top w:val="none" w:sz="0" w:space="0" w:color="auto"/>
                <w:left w:val="none" w:sz="0" w:space="0" w:color="auto"/>
                <w:bottom w:val="none" w:sz="0" w:space="0" w:color="auto"/>
                <w:right w:val="none" w:sz="0" w:space="0" w:color="auto"/>
              </w:divBdr>
            </w:div>
            <w:div w:id="926381343">
              <w:marLeft w:val="0"/>
              <w:marRight w:val="0"/>
              <w:marTop w:val="0"/>
              <w:marBottom w:val="0"/>
              <w:divBdr>
                <w:top w:val="none" w:sz="0" w:space="0" w:color="auto"/>
                <w:left w:val="none" w:sz="0" w:space="0" w:color="auto"/>
                <w:bottom w:val="none" w:sz="0" w:space="0" w:color="auto"/>
                <w:right w:val="none" w:sz="0" w:space="0" w:color="auto"/>
              </w:divBdr>
            </w:div>
            <w:div w:id="1145661624">
              <w:marLeft w:val="0"/>
              <w:marRight w:val="0"/>
              <w:marTop w:val="0"/>
              <w:marBottom w:val="0"/>
              <w:divBdr>
                <w:top w:val="none" w:sz="0" w:space="0" w:color="auto"/>
                <w:left w:val="none" w:sz="0" w:space="0" w:color="auto"/>
                <w:bottom w:val="none" w:sz="0" w:space="0" w:color="auto"/>
                <w:right w:val="none" w:sz="0" w:space="0" w:color="auto"/>
              </w:divBdr>
            </w:div>
            <w:div w:id="1529485005">
              <w:marLeft w:val="0"/>
              <w:marRight w:val="0"/>
              <w:marTop w:val="0"/>
              <w:marBottom w:val="0"/>
              <w:divBdr>
                <w:top w:val="none" w:sz="0" w:space="0" w:color="auto"/>
                <w:left w:val="none" w:sz="0" w:space="0" w:color="auto"/>
                <w:bottom w:val="none" w:sz="0" w:space="0" w:color="auto"/>
                <w:right w:val="none" w:sz="0" w:space="0" w:color="auto"/>
              </w:divBdr>
            </w:div>
          </w:divsChild>
        </w:div>
        <w:div w:id="1726955249">
          <w:marLeft w:val="0"/>
          <w:marRight w:val="0"/>
          <w:marTop w:val="0"/>
          <w:marBottom w:val="0"/>
          <w:divBdr>
            <w:top w:val="none" w:sz="0" w:space="0" w:color="auto"/>
            <w:left w:val="none" w:sz="0" w:space="0" w:color="auto"/>
            <w:bottom w:val="none" w:sz="0" w:space="0" w:color="auto"/>
            <w:right w:val="none" w:sz="0" w:space="0" w:color="auto"/>
          </w:divBdr>
          <w:divsChild>
            <w:div w:id="23097659">
              <w:marLeft w:val="0"/>
              <w:marRight w:val="0"/>
              <w:marTop w:val="0"/>
              <w:marBottom w:val="0"/>
              <w:divBdr>
                <w:top w:val="none" w:sz="0" w:space="0" w:color="auto"/>
                <w:left w:val="none" w:sz="0" w:space="0" w:color="auto"/>
                <w:bottom w:val="none" w:sz="0" w:space="0" w:color="auto"/>
                <w:right w:val="none" w:sz="0" w:space="0" w:color="auto"/>
              </w:divBdr>
            </w:div>
            <w:div w:id="59913409">
              <w:marLeft w:val="0"/>
              <w:marRight w:val="0"/>
              <w:marTop w:val="0"/>
              <w:marBottom w:val="0"/>
              <w:divBdr>
                <w:top w:val="none" w:sz="0" w:space="0" w:color="auto"/>
                <w:left w:val="none" w:sz="0" w:space="0" w:color="auto"/>
                <w:bottom w:val="none" w:sz="0" w:space="0" w:color="auto"/>
                <w:right w:val="none" w:sz="0" w:space="0" w:color="auto"/>
              </w:divBdr>
            </w:div>
            <w:div w:id="141191393">
              <w:marLeft w:val="0"/>
              <w:marRight w:val="0"/>
              <w:marTop w:val="0"/>
              <w:marBottom w:val="0"/>
              <w:divBdr>
                <w:top w:val="none" w:sz="0" w:space="0" w:color="auto"/>
                <w:left w:val="none" w:sz="0" w:space="0" w:color="auto"/>
                <w:bottom w:val="none" w:sz="0" w:space="0" w:color="auto"/>
                <w:right w:val="none" w:sz="0" w:space="0" w:color="auto"/>
              </w:divBdr>
            </w:div>
            <w:div w:id="196549021">
              <w:marLeft w:val="0"/>
              <w:marRight w:val="0"/>
              <w:marTop w:val="0"/>
              <w:marBottom w:val="0"/>
              <w:divBdr>
                <w:top w:val="none" w:sz="0" w:space="0" w:color="auto"/>
                <w:left w:val="none" w:sz="0" w:space="0" w:color="auto"/>
                <w:bottom w:val="none" w:sz="0" w:space="0" w:color="auto"/>
                <w:right w:val="none" w:sz="0" w:space="0" w:color="auto"/>
              </w:divBdr>
            </w:div>
            <w:div w:id="305361188">
              <w:marLeft w:val="0"/>
              <w:marRight w:val="0"/>
              <w:marTop w:val="0"/>
              <w:marBottom w:val="0"/>
              <w:divBdr>
                <w:top w:val="none" w:sz="0" w:space="0" w:color="auto"/>
                <w:left w:val="none" w:sz="0" w:space="0" w:color="auto"/>
                <w:bottom w:val="none" w:sz="0" w:space="0" w:color="auto"/>
                <w:right w:val="none" w:sz="0" w:space="0" w:color="auto"/>
              </w:divBdr>
            </w:div>
            <w:div w:id="438182127">
              <w:marLeft w:val="0"/>
              <w:marRight w:val="0"/>
              <w:marTop w:val="0"/>
              <w:marBottom w:val="0"/>
              <w:divBdr>
                <w:top w:val="none" w:sz="0" w:space="0" w:color="auto"/>
                <w:left w:val="none" w:sz="0" w:space="0" w:color="auto"/>
                <w:bottom w:val="none" w:sz="0" w:space="0" w:color="auto"/>
                <w:right w:val="none" w:sz="0" w:space="0" w:color="auto"/>
              </w:divBdr>
            </w:div>
            <w:div w:id="534000964">
              <w:marLeft w:val="0"/>
              <w:marRight w:val="0"/>
              <w:marTop w:val="0"/>
              <w:marBottom w:val="0"/>
              <w:divBdr>
                <w:top w:val="none" w:sz="0" w:space="0" w:color="auto"/>
                <w:left w:val="none" w:sz="0" w:space="0" w:color="auto"/>
                <w:bottom w:val="none" w:sz="0" w:space="0" w:color="auto"/>
                <w:right w:val="none" w:sz="0" w:space="0" w:color="auto"/>
              </w:divBdr>
            </w:div>
            <w:div w:id="637489398">
              <w:marLeft w:val="0"/>
              <w:marRight w:val="0"/>
              <w:marTop w:val="0"/>
              <w:marBottom w:val="0"/>
              <w:divBdr>
                <w:top w:val="none" w:sz="0" w:space="0" w:color="auto"/>
                <w:left w:val="none" w:sz="0" w:space="0" w:color="auto"/>
                <w:bottom w:val="none" w:sz="0" w:space="0" w:color="auto"/>
                <w:right w:val="none" w:sz="0" w:space="0" w:color="auto"/>
              </w:divBdr>
            </w:div>
            <w:div w:id="728192086">
              <w:marLeft w:val="0"/>
              <w:marRight w:val="0"/>
              <w:marTop w:val="0"/>
              <w:marBottom w:val="0"/>
              <w:divBdr>
                <w:top w:val="none" w:sz="0" w:space="0" w:color="auto"/>
                <w:left w:val="none" w:sz="0" w:space="0" w:color="auto"/>
                <w:bottom w:val="none" w:sz="0" w:space="0" w:color="auto"/>
                <w:right w:val="none" w:sz="0" w:space="0" w:color="auto"/>
              </w:divBdr>
            </w:div>
            <w:div w:id="748888965">
              <w:marLeft w:val="0"/>
              <w:marRight w:val="0"/>
              <w:marTop w:val="0"/>
              <w:marBottom w:val="0"/>
              <w:divBdr>
                <w:top w:val="none" w:sz="0" w:space="0" w:color="auto"/>
                <w:left w:val="none" w:sz="0" w:space="0" w:color="auto"/>
                <w:bottom w:val="none" w:sz="0" w:space="0" w:color="auto"/>
                <w:right w:val="none" w:sz="0" w:space="0" w:color="auto"/>
              </w:divBdr>
            </w:div>
            <w:div w:id="759521505">
              <w:marLeft w:val="0"/>
              <w:marRight w:val="0"/>
              <w:marTop w:val="0"/>
              <w:marBottom w:val="0"/>
              <w:divBdr>
                <w:top w:val="none" w:sz="0" w:space="0" w:color="auto"/>
                <w:left w:val="none" w:sz="0" w:space="0" w:color="auto"/>
                <w:bottom w:val="none" w:sz="0" w:space="0" w:color="auto"/>
                <w:right w:val="none" w:sz="0" w:space="0" w:color="auto"/>
              </w:divBdr>
            </w:div>
            <w:div w:id="849492009">
              <w:marLeft w:val="0"/>
              <w:marRight w:val="0"/>
              <w:marTop w:val="0"/>
              <w:marBottom w:val="0"/>
              <w:divBdr>
                <w:top w:val="none" w:sz="0" w:space="0" w:color="auto"/>
                <w:left w:val="none" w:sz="0" w:space="0" w:color="auto"/>
                <w:bottom w:val="none" w:sz="0" w:space="0" w:color="auto"/>
                <w:right w:val="none" w:sz="0" w:space="0" w:color="auto"/>
              </w:divBdr>
            </w:div>
            <w:div w:id="947348686">
              <w:marLeft w:val="0"/>
              <w:marRight w:val="0"/>
              <w:marTop w:val="0"/>
              <w:marBottom w:val="0"/>
              <w:divBdr>
                <w:top w:val="none" w:sz="0" w:space="0" w:color="auto"/>
                <w:left w:val="none" w:sz="0" w:space="0" w:color="auto"/>
                <w:bottom w:val="none" w:sz="0" w:space="0" w:color="auto"/>
                <w:right w:val="none" w:sz="0" w:space="0" w:color="auto"/>
              </w:divBdr>
            </w:div>
            <w:div w:id="1099375690">
              <w:marLeft w:val="0"/>
              <w:marRight w:val="0"/>
              <w:marTop w:val="0"/>
              <w:marBottom w:val="0"/>
              <w:divBdr>
                <w:top w:val="none" w:sz="0" w:space="0" w:color="auto"/>
                <w:left w:val="none" w:sz="0" w:space="0" w:color="auto"/>
                <w:bottom w:val="none" w:sz="0" w:space="0" w:color="auto"/>
                <w:right w:val="none" w:sz="0" w:space="0" w:color="auto"/>
              </w:divBdr>
            </w:div>
            <w:div w:id="1292899127">
              <w:marLeft w:val="0"/>
              <w:marRight w:val="0"/>
              <w:marTop w:val="0"/>
              <w:marBottom w:val="0"/>
              <w:divBdr>
                <w:top w:val="none" w:sz="0" w:space="0" w:color="auto"/>
                <w:left w:val="none" w:sz="0" w:space="0" w:color="auto"/>
                <w:bottom w:val="none" w:sz="0" w:space="0" w:color="auto"/>
                <w:right w:val="none" w:sz="0" w:space="0" w:color="auto"/>
              </w:divBdr>
            </w:div>
            <w:div w:id="1761949312">
              <w:marLeft w:val="0"/>
              <w:marRight w:val="0"/>
              <w:marTop w:val="0"/>
              <w:marBottom w:val="0"/>
              <w:divBdr>
                <w:top w:val="none" w:sz="0" w:space="0" w:color="auto"/>
                <w:left w:val="none" w:sz="0" w:space="0" w:color="auto"/>
                <w:bottom w:val="none" w:sz="0" w:space="0" w:color="auto"/>
                <w:right w:val="none" w:sz="0" w:space="0" w:color="auto"/>
              </w:divBdr>
            </w:div>
            <w:div w:id="1908685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256596">
      <w:bodyDiv w:val="1"/>
      <w:marLeft w:val="0"/>
      <w:marRight w:val="0"/>
      <w:marTop w:val="0"/>
      <w:marBottom w:val="0"/>
      <w:divBdr>
        <w:top w:val="none" w:sz="0" w:space="0" w:color="auto"/>
        <w:left w:val="none" w:sz="0" w:space="0" w:color="auto"/>
        <w:bottom w:val="none" w:sz="0" w:space="0" w:color="auto"/>
        <w:right w:val="none" w:sz="0" w:space="0" w:color="auto"/>
      </w:divBdr>
      <w:divsChild>
        <w:div w:id="16279782">
          <w:marLeft w:val="0"/>
          <w:marRight w:val="0"/>
          <w:marTop w:val="0"/>
          <w:marBottom w:val="0"/>
          <w:divBdr>
            <w:top w:val="none" w:sz="0" w:space="0" w:color="auto"/>
            <w:left w:val="none" w:sz="0" w:space="0" w:color="auto"/>
            <w:bottom w:val="none" w:sz="0" w:space="0" w:color="auto"/>
            <w:right w:val="none" w:sz="0" w:space="0" w:color="auto"/>
          </w:divBdr>
        </w:div>
        <w:div w:id="55975561">
          <w:marLeft w:val="0"/>
          <w:marRight w:val="0"/>
          <w:marTop w:val="0"/>
          <w:marBottom w:val="0"/>
          <w:divBdr>
            <w:top w:val="none" w:sz="0" w:space="0" w:color="auto"/>
            <w:left w:val="none" w:sz="0" w:space="0" w:color="auto"/>
            <w:bottom w:val="none" w:sz="0" w:space="0" w:color="auto"/>
            <w:right w:val="none" w:sz="0" w:space="0" w:color="auto"/>
          </w:divBdr>
        </w:div>
        <w:div w:id="132914835">
          <w:marLeft w:val="0"/>
          <w:marRight w:val="0"/>
          <w:marTop w:val="0"/>
          <w:marBottom w:val="0"/>
          <w:divBdr>
            <w:top w:val="none" w:sz="0" w:space="0" w:color="auto"/>
            <w:left w:val="none" w:sz="0" w:space="0" w:color="auto"/>
            <w:bottom w:val="none" w:sz="0" w:space="0" w:color="auto"/>
            <w:right w:val="none" w:sz="0" w:space="0" w:color="auto"/>
          </w:divBdr>
        </w:div>
        <w:div w:id="165443062">
          <w:marLeft w:val="0"/>
          <w:marRight w:val="0"/>
          <w:marTop w:val="0"/>
          <w:marBottom w:val="0"/>
          <w:divBdr>
            <w:top w:val="none" w:sz="0" w:space="0" w:color="auto"/>
            <w:left w:val="none" w:sz="0" w:space="0" w:color="auto"/>
            <w:bottom w:val="none" w:sz="0" w:space="0" w:color="auto"/>
            <w:right w:val="none" w:sz="0" w:space="0" w:color="auto"/>
          </w:divBdr>
        </w:div>
        <w:div w:id="661853437">
          <w:marLeft w:val="0"/>
          <w:marRight w:val="0"/>
          <w:marTop w:val="0"/>
          <w:marBottom w:val="0"/>
          <w:divBdr>
            <w:top w:val="none" w:sz="0" w:space="0" w:color="auto"/>
            <w:left w:val="none" w:sz="0" w:space="0" w:color="auto"/>
            <w:bottom w:val="none" w:sz="0" w:space="0" w:color="auto"/>
            <w:right w:val="none" w:sz="0" w:space="0" w:color="auto"/>
          </w:divBdr>
          <w:divsChild>
            <w:div w:id="366755355">
              <w:marLeft w:val="0"/>
              <w:marRight w:val="0"/>
              <w:marTop w:val="30"/>
              <w:marBottom w:val="30"/>
              <w:divBdr>
                <w:top w:val="none" w:sz="0" w:space="0" w:color="auto"/>
                <w:left w:val="none" w:sz="0" w:space="0" w:color="auto"/>
                <w:bottom w:val="none" w:sz="0" w:space="0" w:color="auto"/>
                <w:right w:val="none" w:sz="0" w:space="0" w:color="auto"/>
              </w:divBdr>
              <w:divsChild>
                <w:div w:id="67580781">
                  <w:marLeft w:val="0"/>
                  <w:marRight w:val="0"/>
                  <w:marTop w:val="0"/>
                  <w:marBottom w:val="0"/>
                  <w:divBdr>
                    <w:top w:val="none" w:sz="0" w:space="0" w:color="auto"/>
                    <w:left w:val="none" w:sz="0" w:space="0" w:color="auto"/>
                    <w:bottom w:val="none" w:sz="0" w:space="0" w:color="auto"/>
                    <w:right w:val="none" w:sz="0" w:space="0" w:color="auto"/>
                  </w:divBdr>
                  <w:divsChild>
                    <w:div w:id="279260410">
                      <w:marLeft w:val="0"/>
                      <w:marRight w:val="0"/>
                      <w:marTop w:val="0"/>
                      <w:marBottom w:val="0"/>
                      <w:divBdr>
                        <w:top w:val="none" w:sz="0" w:space="0" w:color="auto"/>
                        <w:left w:val="none" w:sz="0" w:space="0" w:color="auto"/>
                        <w:bottom w:val="none" w:sz="0" w:space="0" w:color="auto"/>
                        <w:right w:val="none" w:sz="0" w:space="0" w:color="auto"/>
                      </w:divBdr>
                    </w:div>
                  </w:divsChild>
                </w:div>
                <w:div w:id="484661112">
                  <w:marLeft w:val="0"/>
                  <w:marRight w:val="0"/>
                  <w:marTop w:val="0"/>
                  <w:marBottom w:val="0"/>
                  <w:divBdr>
                    <w:top w:val="none" w:sz="0" w:space="0" w:color="auto"/>
                    <w:left w:val="none" w:sz="0" w:space="0" w:color="auto"/>
                    <w:bottom w:val="none" w:sz="0" w:space="0" w:color="auto"/>
                    <w:right w:val="none" w:sz="0" w:space="0" w:color="auto"/>
                  </w:divBdr>
                  <w:divsChild>
                    <w:div w:id="244071285">
                      <w:marLeft w:val="0"/>
                      <w:marRight w:val="0"/>
                      <w:marTop w:val="0"/>
                      <w:marBottom w:val="0"/>
                      <w:divBdr>
                        <w:top w:val="none" w:sz="0" w:space="0" w:color="auto"/>
                        <w:left w:val="none" w:sz="0" w:space="0" w:color="auto"/>
                        <w:bottom w:val="none" w:sz="0" w:space="0" w:color="auto"/>
                        <w:right w:val="none" w:sz="0" w:space="0" w:color="auto"/>
                      </w:divBdr>
                    </w:div>
                  </w:divsChild>
                </w:div>
                <w:div w:id="552011984">
                  <w:marLeft w:val="0"/>
                  <w:marRight w:val="0"/>
                  <w:marTop w:val="0"/>
                  <w:marBottom w:val="0"/>
                  <w:divBdr>
                    <w:top w:val="none" w:sz="0" w:space="0" w:color="auto"/>
                    <w:left w:val="none" w:sz="0" w:space="0" w:color="auto"/>
                    <w:bottom w:val="none" w:sz="0" w:space="0" w:color="auto"/>
                    <w:right w:val="none" w:sz="0" w:space="0" w:color="auto"/>
                  </w:divBdr>
                  <w:divsChild>
                    <w:div w:id="558396959">
                      <w:marLeft w:val="0"/>
                      <w:marRight w:val="0"/>
                      <w:marTop w:val="0"/>
                      <w:marBottom w:val="0"/>
                      <w:divBdr>
                        <w:top w:val="none" w:sz="0" w:space="0" w:color="auto"/>
                        <w:left w:val="none" w:sz="0" w:space="0" w:color="auto"/>
                        <w:bottom w:val="none" w:sz="0" w:space="0" w:color="auto"/>
                        <w:right w:val="none" w:sz="0" w:space="0" w:color="auto"/>
                      </w:divBdr>
                    </w:div>
                  </w:divsChild>
                </w:div>
                <w:div w:id="581067993">
                  <w:marLeft w:val="0"/>
                  <w:marRight w:val="0"/>
                  <w:marTop w:val="0"/>
                  <w:marBottom w:val="0"/>
                  <w:divBdr>
                    <w:top w:val="none" w:sz="0" w:space="0" w:color="auto"/>
                    <w:left w:val="none" w:sz="0" w:space="0" w:color="auto"/>
                    <w:bottom w:val="none" w:sz="0" w:space="0" w:color="auto"/>
                    <w:right w:val="none" w:sz="0" w:space="0" w:color="auto"/>
                  </w:divBdr>
                  <w:divsChild>
                    <w:div w:id="1152912936">
                      <w:marLeft w:val="0"/>
                      <w:marRight w:val="0"/>
                      <w:marTop w:val="0"/>
                      <w:marBottom w:val="0"/>
                      <w:divBdr>
                        <w:top w:val="none" w:sz="0" w:space="0" w:color="auto"/>
                        <w:left w:val="none" w:sz="0" w:space="0" w:color="auto"/>
                        <w:bottom w:val="none" w:sz="0" w:space="0" w:color="auto"/>
                        <w:right w:val="none" w:sz="0" w:space="0" w:color="auto"/>
                      </w:divBdr>
                    </w:div>
                  </w:divsChild>
                </w:div>
                <w:div w:id="894201715">
                  <w:marLeft w:val="0"/>
                  <w:marRight w:val="0"/>
                  <w:marTop w:val="0"/>
                  <w:marBottom w:val="0"/>
                  <w:divBdr>
                    <w:top w:val="none" w:sz="0" w:space="0" w:color="auto"/>
                    <w:left w:val="none" w:sz="0" w:space="0" w:color="auto"/>
                    <w:bottom w:val="none" w:sz="0" w:space="0" w:color="auto"/>
                    <w:right w:val="none" w:sz="0" w:space="0" w:color="auto"/>
                  </w:divBdr>
                  <w:divsChild>
                    <w:div w:id="1198011380">
                      <w:marLeft w:val="0"/>
                      <w:marRight w:val="0"/>
                      <w:marTop w:val="0"/>
                      <w:marBottom w:val="0"/>
                      <w:divBdr>
                        <w:top w:val="none" w:sz="0" w:space="0" w:color="auto"/>
                        <w:left w:val="none" w:sz="0" w:space="0" w:color="auto"/>
                        <w:bottom w:val="none" w:sz="0" w:space="0" w:color="auto"/>
                        <w:right w:val="none" w:sz="0" w:space="0" w:color="auto"/>
                      </w:divBdr>
                    </w:div>
                  </w:divsChild>
                </w:div>
                <w:div w:id="906767203">
                  <w:marLeft w:val="0"/>
                  <w:marRight w:val="0"/>
                  <w:marTop w:val="0"/>
                  <w:marBottom w:val="0"/>
                  <w:divBdr>
                    <w:top w:val="none" w:sz="0" w:space="0" w:color="auto"/>
                    <w:left w:val="none" w:sz="0" w:space="0" w:color="auto"/>
                    <w:bottom w:val="none" w:sz="0" w:space="0" w:color="auto"/>
                    <w:right w:val="none" w:sz="0" w:space="0" w:color="auto"/>
                  </w:divBdr>
                  <w:divsChild>
                    <w:div w:id="386416976">
                      <w:marLeft w:val="0"/>
                      <w:marRight w:val="0"/>
                      <w:marTop w:val="0"/>
                      <w:marBottom w:val="0"/>
                      <w:divBdr>
                        <w:top w:val="none" w:sz="0" w:space="0" w:color="auto"/>
                        <w:left w:val="none" w:sz="0" w:space="0" w:color="auto"/>
                        <w:bottom w:val="none" w:sz="0" w:space="0" w:color="auto"/>
                        <w:right w:val="none" w:sz="0" w:space="0" w:color="auto"/>
                      </w:divBdr>
                    </w:div>
                  </w:divsChild>
                </w:div>
                <w:div w:id="1234392333">
                  <w:marLeft w:val="0"/>
                  <w:marRight w:val="0"/>
                  <w:marTop w:val="0"/>
                  <w:marBottom w:val="0"/>
                  <w:divBdr>
                    <w:top w:val="none" w:sz="0" w:space="0" w:color="auto"/>
                    <w:left w:val="none" w:sz="0" w:space="0" w:color="auto"/>
                    <w:bottom w:val="none" w:sz="0" w:space="0" w:color="auto"/>
                    <w:right w:val="none" w:sz="0" w:space="0" w:color="auto"/>
                  </w:divBdr>
                  <w:divsChild>
                    <w:div w:id="2063627968">
                      <w:marLeft w:val="0"/>
                      <w:marRight w:val="0"/>
                      <w:marTop w:val="0"/>
                      <w:marBottom w:val="0"/>
                      <w:divBdr>
                        <w:top w:val="none" w:sz="0" w:space="0" w:color="auto"/>
                        <w:left w:val="none" w:sz="0" w:space="0" w:color="auto"/>
                        <w:bottom w:val="none" w:sz="0" w:space="0" w:color="auto"/>
                        <w:right w:val="none" w:sz="0" w:space="0" w:color="auto"/>
                      </w:divBdr>
                    </w:div>
                  </w:divsChild>
                </w:div>
                <w:div w:id="1347097745">
                  <w:marLeft w:val="0"/>
                  <w:marRight w:val="0"/>
                  <w:marTop w:val="0"/>
                  <w:marBottom w:val="0"/>
                  <w:divBdr>
                    <w:top w:val="none" w:sz="0" w:space="0" w:color="auto"/>
                    <w:left w:val="none" w:sz="0" w:space="0" w:color="auto"/>
                    <w:bottom w:val="none" w:sz="0" w:space="0" w:color="auto"/>
                    <w:right w:val="none" w:sz="0" w:space="0" w:color="auto"/>
                  </w:divBdr>
                  <w:divsChild>
                    <w:div w:id="289557571">
                      <w:marLeft w:val="0"/>
                      <w:marRight w:val="0"/>
                      <w:marTop w:val="0"/>
                      <w:marBottom w:val="0"/>
                      <w:divBdr>
                        <w:top w:val="none" w:sz="0" w:space="0" w:color="auto"/>
                        <w:left w:val="none" w:sz="0" w:space="0" w:color="auto"/>
                        <w:bottom w:val="none" w:sz="0" w:space="0" w:color="auto"/>
                        <w:right w:val="none" w:sz="0" w:space="0" w:color="auto"/>
                      </w:divBdr>
                    </w:div>
                  </w:divsChild>
                </w:div>
                <w:div w:id="1461996256">
                  <w:marLeft w:val="0"/>
                  <w:marRight w:val="0"/>
                  <w:marTop w:val="0"/>
                  <w:marBottom w:val="0"/>
                  <w:divBdr>
                    <w:top w:val="none" w:sz="0" w:space="0" w:color="auto"/>
                    <w:left w:val="none" w:sz="0" w:space="0" w:color="auto"/>
                    <w:bottom w:val="none" w:sz="0" w:space="0" w:color="auto"/>
                    <w:right w:val="none" w:sz="0" w:space="0" w:color="auto"/>
                  </w:divBdr>
                  <w:divsChild>
                    <w:div w:id="1006710212">
                      <w:marLeft w:val="0"/>
                      <w:marRight w:val="0"/>
                      <w:marTop w:val="0"/>
                      <w:marBottom w:val="0"/>
                      <w:divBdr>
                        <w:top w:val="none" w:sz="0" w:space="0" w:color="auto"/>
                        <w:left w:val="none" w:sz="0" w:space="0" w:color="auto"/>
                        <w:bottom w:val="none" w:sz="0" w:space="0" w:color="auto"/>
                        <w:right w:val="none" w:sz="0" w:space="0" w:color="auto"/>
                      </w:divBdr>
                    </w:div>
                  </w:divsChild>
                </w:div>
                <w:div w:id="1797992309">
                  <w:marLeft w:val="0"/>
                  <w:marRight w:val="0"/>
                  <w:marTop w:val="0"/>
                  <w:marBottom w:val="0"/>
                  <w:divBdr>
                    <w:top w:val="none" w:sz="0" w:space="0" w:color="auto"/>
                    <w:left w:val="none" w:sz="0" w:space="0" w:color="auto"/>
                    <w:bottom w:val="none" w:sz="0" w:space="0" w:color="auto"/>
                    <w:right w:val="none" w:sz="0" w:space="0" w:color="auto"/>
                  </w:divBdr>
                  <w:divsChild>
                    <w:div w:id="976955858">
                      <w:marLeft w:val="0"/>
                      <w:marRight w:val="0"/>
                      <w:marTop w:val="0"/>
                      <w:marBottom w:val="0"/>
                      <w:divBdr>
                        <w:top w:val="none" w:sz="0" w:space="0" w:color="auto"/>
                        <w:left w:val="none" w:sz="0" w:space="0" w:color="auto"/>
                        <w:bottom w:val="none" w:sz="0" w:space="0" w:color="auto"/>
                        <w:right w:val="none" w:sz="0" w:space="0" w:color="auto"/>
                      </w:divBdr>
                    </w:div>
                  </w:divsChild>
                </w:div>
                <w:div w:id="1956055047">
                  <w:marLeft w:val="0"/>
                  <w:marRight w:val="0"/>
                  <w:marTop w:val="0"/>
                  <w:marBottom w:val="0"/>
                  <w:divBdr>
                    <w:top w:val="none" w:sz="0" w:space="0" w:color="auto"/>
                    <w:left w:val="none" w:sz="0" w:space="0" w:color="auto"/>
                    <w:bottom w:val="none" w:sz="0" w:space="0" w:color="auto"/>
                    <w:right w:val="none" w:sz="0" w:space="0" w:color="auto"/>
                  </w:divBdr>
                  <w:divsChild>
                    <w:div w:id="219442053">
                      <w:marLeft w:val="0"/>
                      <w:marRight w:val="0"/>
                      <w:marTop w:val="0"/>
                      <w:marBottom w:val="0"/>
                      <w:divBdr>
                        <w:top w:val="none" w:sz="0" w:space="0" w:color="auto"/>
                        <w:left w:val="none" w:sz="0" w:space="0" w:color="auto"/>
                        <w:bottom w:val="none" w:sz="0" w:space="0" w:color="auto"/>
                        <w:right w:val="none" w:sz="0" w:space="0" w:color="auto"/>
                      </w:divBdr>
                    </w:div>
                  </w:divsChild>
                </w:div>
                <w:div w:id="2064789748">
                  <w:marLeft w:val="0"/>
                  <w:marRight w:val="0"/>
                  <w:marTop w:val="0"/>
                  <w:marBottom w:val="0"/>
                  <w:divBdr>
                    <w:top w:val="none" w:sz="0" w:space="0" w:color="auto"/>
                    <w:left w:val="none" w:sz="0" w:space="0" w:color="auto"/>
                    <w:bottom w:val="none" w:sz="0" w:space="0" w:color="auto"/>
                    <w:right w:val="none" w:sz="0" w:space="0" w:color="auto"/>
                  </w:divBdr>
                  <w:divsChild>
                    <w:div w:id="2119175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7416162">
          <w:marLeft w:val="0"/>
          <w:marRight w:val="0"/>
          <w:marTop w:val="0"/>
          <w:marBottom w:val="0"/>
          <w:divBdr>
            <w:top w:val="none" w:sz="0" w:space="0" w:color="auto"/>
            <w:left w:val="none" w:sz="0" w:space="0" w:color="auto"/>
            <w:bottom w:val="none" w:sz="0" w:space="0" w:color="auto"/>
            <w:right w:val="none" w:sz="0" w:space="0" w:color="auto"/>
          </w:divBdr>
        </w:div>
        <w:div w:id="1039548695">
          <w:marLeft w:val="0"/>
          <w:marRight w:val="0"/>
          <w:marTop w:val="0"/>
          <w:marBottom w:val="0"/>
          <w:divBdr>
            <w:top w:val="none" w:sz="0" w:space="0" w:color="auto"/>
            <w:left w:val="none" w:sz="0" w:space="0" w:color="auto"/>
            <w:bottom w:val="none" w:sz="0" w:space="0" w:color="auto"/>
            <w:right w:val="none" w:sz="0" w:space="0" w:color="auto"/>
          </w:divBdr>
        </w:div>
        <w:div w:id="1099058166">
          <w:marLeft w:val="0"/>
          <w:marRight w:val="0"/>
          <w:marTop w:val="0"/>
          <w:marBottom w:val="0"/>
          <w:divBdr>
            <w:top w:val="none" w:sz="0" w:space="0" w:color="auto"/>
            <w:left w:val="none" w:sz="0" w:space="0" w:color="auto"/>
            <w:bottom w:val="none" w:sz="0" w:space="0" w:color="auto"/>
            <w:right w:val="none" w:sz="0" w:space="0" w:color="auto"/>
          </w:divBdr>
        </w:div>
        <w:div w:id="1116407848">
          <w:marLeft w:val="0"/>
          <w:marRight w:val="0"/>
          <w:marTop w:val="0"/>
          <w:marBottom w:val="0"/>
          <w:divBdr>
            <w:top w:val="none" w:sz="0" w:space="0" w:color="auto"/>
            <w:left w:val="none" w:sz="0" w:space="0" w:color="auto"/>
            <w:bottom w:val="none" w:sz="0" w:space="0" w:color="auto"/>
            <w:right w:val="none" w:sz="0" w:space="0" w:color="auto"/>
          </w:divBdr>
        </w:div>
        <w:div w:id="1390807444">
          <w:marLeft w:val="0"/>
          <w:marRight w:val="0"/>
          <w:marTop w:val="0"/>
          <w:marBottom w:val="0"/>
          <w:divBdr>
            <w:top w:val="none" w:sz="0" w:space="0" w:color="auto"/>
            <w:left w:val="none" w:sz="0" w:space="0" w:color="auto"/>
            <w:bottom w:val="none" w:sz="0" w:space="0" w:color="auto"/>
            <w:right w:val="none" w:sz="0" w:space="0" w:color="auto"/>
          </w:divBdr>
        </w:div>
        <w:div w:id="1459302251">
          <w:marLeft w:val="0"/>
          <w:marRight w:val="0"/>
          <w:marTop w:val="0"/>
          <w:marBottom w:val="0"/>
          <w:divBdr>
            <w:top w:val="none" w:sz="0" w:space="0" w:color="auto"/>
            <w:left w:val="none" w:sz="0" w:space="0" w:color="auto"/>
            <w:bottom w:val="none" w:sz="0" w:space="0" w:color="auto"/>
            <w:right w:val="none" w:sz="0" w:space="0" w:color="auto"/>
          </w:divBdr>
        </w:div>
        <w:div w:id="1836802251">
          <w:marLeft w:val="0"/>
          <w:marRight w:val="0"/>
          <w:marTop w:val="0"/>
          <w:marBottom w:val="0"/>
          <w:divBdr>
            <w:top w:val="none" w:sz="0" w:space="0" w:color="auto"/>
            <w:left w:val="none" w:sz="0" w:space="0" w:color="auto"/>
            <w:bottom w:val="none" w:sz="0" w:space="0" w:color="auto"/>
            <w:right w:val="none" w:sz="0" w:space="0" w:color="auto"/>
          </w:divBdr>
        </w:div>
        <w:div w:id="1895266868">
          <w:marLeft w:val="0"/>
          <w:marRight w:val="0"/>
          <w:marTop w:val="0"/>
          <w:marBottom w:val="0"/>
          <w:divBdr>
            <w:top w:val="none" w:sz="0" w:space="0" w:color="auto"/>
            <w:left w:val="none" w:sz="0" w:space="0" w:color="auto"/>
            <w:bottom w:val="none" w:sz="0" w:space="0" w:color="auto"/>
            <w:right w:val="none" w:sz="0" w:space="0" w:color="auto"/>
          </w:divBdr>
        </w:div>
        <w:div w:id="1993369582">
          <w:marLeft w:val="0"/>
          <w:marRight w:val="0"/>
          <w:marTop w:val="0"/>
          <w:marBottom w:val="0"/>
          <w:divBdr>
            <w:top w:val="none" w:sz="0" w:space="0" w:color="auto"/>
            <w:left w:val="none" w:sz="0" w:space="0" w:color="auto"/>
            <w:bottom w:val="none" w:sz="0" w:space="0" w:color="auto"/>
            <w:right w:val="none" w:sz="0" w:space="0" w:color="auto"/>
          </w:divBdr>
        </w:div>
        <w:div w:id="2135754564">
          <w:marLeft w:val="0"/>
          <w:marRight w:val="0"/>
          <w:marTop w:val="0"/>
          <w:marBottom w:val="0"/>
          <w:divBdr>
            <w:top w:val="none" w:sz="0" w:space="0" w:color="auto"/>
            <w:left w:val="none" w:sz="0" w:space="0" w:color="auto"/>
            <w:bottom w:val="none" w:sz="0" w:space="0" w:color="auto"/>
            <w:right w:val="none" w:sz="0" w:space="0" w:color="auto"/>
          </w:divBdr>
        </w:div>
      </w:divsChild>
    </w:div>
    <w:div w:id="852453297">
      <w:bodyDiv w:val="1"/>
      <w:marLeft w:val="0"/>
      <w:marRight w:val="0"/>
      <w:marTop w:val="0"/>
      <w:marBottom w:val="0"/>
      <w:divBdr>
        <w:top w:val="none" w:sz="0" w:space="0" w:color="auto"/>
        <w:left w:val="none" w:sz="0" w:space="0" w:color="auto"/>
        <w:bottom w:val="none" w:sz="0" w:space="0" w:color="auto"/>
        <w:right w:val="none" w:sz="0" w:space="0" w:color="auto"/>
      </w:divBdr>
    </w:div>
    <w:div w:id="1021473859">
      <w:bodyDiv w:val="1"/>
      <w:marLeft w:val="0"/>
      <w:marRight w:val="0"/>
      <w:marTop w:val="0"/>
      <w:marBottom w:val="0"/>
      <w:divBdr>
        <w:top w:val="none" w:sz="0" w:space="0" w:color="auto"/>
        <w:left w:val="none" w:sz="0" w:space="0" w:color="auto"/>
        <w:bottom w:val="none" w:sz="0" w:space="0" w:color="auto"/>
        <w:right w:val="none" w:sz="0" w:space="0" w:color="auto"/>
      </w:divBdr>
    </w:div>
    <w:div w:id="1075709447">
      <w:bodyDiv w:val="1"/>
      <w:marLeft w:val="0"/>
      <w:marRight w:val="0"/>
      <w:marTop w:val="0"/>
      <w:marBottom w:val="0"/>
      <w:divBdr>
        <w:top w:val="none" w:sz="0" w:space="0" w:color="auto"/>
        <w:left w:val="none" w:sz="0" w:space="0" w:color="auto"/>
        <w:bottom w:val="none" w:sz="0" w:space="0" w:color="auto"/>
        <w:right w:val="none" w:sz="0" w:space="0" w:color="auto"/>
      </w:divBdr>
    </w:div>
    <w:div w:id="1122074349">
      <w:bodyDiv w:val="1"/>
      <w:marLeft w:val="0"/>
      <w:marRight w:val="0"/>
      <w:marTop w:val="0"/>
      <w:marBottom w:val="0"/>
      <w:divBdr>
        <w:top w:val="none" w:sz="0" w:space="0" w:color="auto"/>
        <w:left w:val="none" w:sz="0" w:space="0" w:color="auto"/>
        <w:bottom w:val="none" w:sz="0" w:space="0" w:color="auto"/>
        <w:right w:val="none" w:sz="0" w:space="0" w:color="auto"/>
      </w:divBdr>
    </w:div>
    <w:div w:id="1178041082">
      <w:bodyDiv w:val="1"/>
      <w:marLeft w:val="0"/>
      <w:marRight w:val="0"/>
      <w:marTop w:val="0"/>
      <w:marBottom w:val="0"/>
      <w:divBdr>
        <w:top w:val="none" w:sz="0" w:space="0" w:color="auto"/>
        <w:left w:val="none" w:sz="0" w:space="0" w:color="auto"/>
        <w:bottom w:val="none" w:sz="0" w:space="0" w:color="auto"/>
        <w:right w:val="none" w:sz="0" w:space="0" w:color="auto"/>
      </w:divBdr>
    </w:div>
    <w:div w:id="1379626965">
      <w:bodyDiv w:val="1"/>
      <w:marLeft w:val="0"/>
      <w:marRight w:val="0"/>
      <w:marTop w:val="0"/>
      <w:marBottom w:val="0"/>
      <w:divBdr>
        <w:top w:val="none" w:sz="0" w:space="0" w:color="auto"/>
        <w:left w:val="none" w:sz="0" w:space="0" w:color="auto"/>
        <w:bottom w:val="none" w:sz="0" w:space="0" w:color="auto"/>
        <w:right w:val="none" w:sz="0" w:space="0" w:color="auto"/>
      </w:divBdr>
      <w:divsChild>
        <w:div w:id="937637580">
          <w:marLeft w:val="0"/>
          <w:marRight w:val="0"/>
          <w:marTop w:val="0"/>
          <w:marBottom w:val="0"/>
          <w:divBdr>
            <w:top w:val="none" w:sz="0" w:space="0" w:color="auto"/>
            <w:left w:val="none" w:sz="0" w:space="0" w:color="auto"/>
            <w:bottom w:val="none" w:sz="0" w:space="0" w:color="auto"/>
            <w:right w:val="none" w:sz="0" w:space="0" w:color="auto"/>
          </w:divBdr>
          <w:divsChild>
            <w:div w:id="414399567">
              <w:marLeft w:val="0"/>
              <w:marRight w:val="0"/>
              <w:marTop w:val="0"/>
              <w:marBottom w:val="0"/>
              <w:divBdr>
                <w:top w:val="none" w:sz="0" w:space="0" w:color="auto"/>
                <w:left w:val="none" w:sz="0" w:space="0" w:color="auto"/>
                <w:bottom w:val="none" w:sz="0" w:space="0" w:color="auto"/>
                <w:right w:val="none" w:sz="0" w:space="0" w:color="auto"/>
              </w:divBdr>
              <w:divsChild>
                <w:div w:id="508640014">
                  <w:marLeft w:val="0"/>
                  <w:marRight w:val="0"/>
                  <w:marTop w:val="0"/>
                  <w:marBottom w:val="0"/>
                  <w:divBdr>
                    <w:top w:val="none" w:sz="0" w:space="0" w:color="auto"/>
                    <w:left w:val="none" w:sz="0" w:space="0" w:color="auto"/>
                    <w:bottom w:val="none" w:sz="0" w:space="0" w:color="auto"/>
                    <w:right w:val="none" w:sz="0" w:space="0" w:color="auto"/>
                  </w:divBdr>
                  <w:divsChild>
                    <w:div w:id="1214003792">
                      <w:marLeft w:val="0"/>
                      <w:marRight w:val="0"/>
                      <w:marTop w:val="0"/>
                      <w:marBottom w:val="0"/>
                      <w:divBdr>
                        <w:top w:val="none" w:sz="0" w:space="0" w:color="auto"/>
                        <w:left w:val="none" w:sz="0" w:space="0" w:color="auto"/>
                        <w:bottom w:val="none" w:sz="0" w:space="0" w:color="auto"/>
                        <w:right w:val="none" w:sz="0" w:space="0" w:color="auto"/>
                      </w:divBdr>
                      <w:divsChild>
                        <w:div w:id="358970985">
                          <w:marLeft w:val="0"/>
                          <w:marRight w:val="0"/>
                          <w:marTop w:val="0"/>
                          <w:marBottom w:val="0"/>
                          <w:divBdr>
                            <w:top w:val="none" w:sz="0" w:space="0" w:color="auto"/>
                            <w:left w:val="none" w:sz="0" w:space="0" w:color="auto"/>
                            <w:bottom w:val="none" w:sz="0" w:space="0" w:color="auto"/>
                            <w:right w:val="none" w:sz="0" w:space="0" w:color="auto"/>
                          </w:divBdr>
                          <w:divsChild>
                            <w:div w:id="606814924">
                              <w:marLeft w:val="0"/>
                              <w:marRight w:val="0"/>
                              <w:marTop w:val="0"/>
                              <w:marBottom w:val="0"/>
                              <w:divBdr>
                                <w:top w:val="none" w:sz="0" w:space="0" w:color="auto"/>
                                <w:left w:val="none" w:sz="0" w:space="0" w:color="auto"/>
                                <w:bottom w:val="none" w:sz="0" w:space="0" w:color="auto"/>
                                <w:right w:val="none" w:sz="0" w:space="0" w:color="auto"/>
                              </w:divBdr>
                              <w:divsChild>
                                <w:div w:id="143178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729711">
                          <w:marLeft w:val="0"/>
                          <w:marRight w:val="0"/>
                          <w:marTop w:val="0"/>
                          <w:marBottom w:val="0"/>
                          <w:divBdr>
                            <w:top w:val="none" w:sz="0" w:space="0" w:color="auto"/>
                            <w:left w:val="none" w:sz="0" w:space="0" w:color="auto"/>
                            <w:bottom w:val="none" w:sz="0" w:space="0" w:color="auto"/>
                            <w:right w:val="none" w:sz="0" w:space="0" w:color="auto"/>
                          </w:divBdr>
                          <w:divsChild>
                            <w:div w:id="514685496">
                              <w:marLeft w:val="0"/>
                              <w:marRight w:val="0"/>
                              <w:marTop w:val="0"/>
                              <w:marBottom w:val="0"/>
                              <w:divBdr>
                                <w:top w:val="none" w:sz="0" w:space="0" w:color="auto"/>
                                <w:left w:val="none" w:sz="0" w:space="0" w:color="auto"/>
                                <w:bottom w:val="none" w:sz="0" w:space="0" w:color="auto"/>
                                <w:right w:val="none" w:sz="0" w:space="0" w:color="auto"/>
                              </w:divBdr>
                              <w:divsChild>
                                <w:div w:id="1463965830">
                                  <w:marLeft w:val="0"/>
                                  <w:marRight w:val="0"/>
                                  <w:marTop w:val="0"/>
                                  <w:marBottom w:val="0"/>
                                  <w:divBdr>
                                    <w:top w:val="none" w:sz="0" w:space="0" w:color="auto"/>
                                    <w:left w:val="none" w:sz="0" w:space="0" w:color="auto"/>
                                    <w:bottom w:val="none" w:sz="0" w:space="0" w:color="auto"/>
                                    <w:right w:val="none" w:sz="0" w:space="0" w:color="auto"/>
                                  </w:divBdr>
                                  <w:divsChild>
                                    <w:div w:id="144859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2043718">
      <w:bodyDiv w:val="1"/>
      <w:marLeft w:val="0"/>
      <w:marRight w:val="0"/>
      <w:marTop w:val="0"/>
      <w:marBottom w:val="0"/>
      <w:divBdr>
        <w:top w:val="none" w:sz="0" w:space="0" w:color="auto"/>
        <w:left w:val="none" w:sz="0" w:space="0" w:color="auto"/>
        <w:bottom w:val="none" w:sz="0" w:space="0" w:color="auto"/>
        <w:right w:val="none" w:sz="0" w:space="0" w:color="auto"/>
      </w:divBdr>
    </w:div>
    <w:div w:id="1488127778">
      <w:bodyDiv w:val="1"/>
      <w:marLeft w:val="0"/>
      <w:marRight w:val="0"/>
      <w:marTop w:val="0"/>
      <w:marBottom w:val="0"/>
      <w:divBdr>
        <w:top w:val="none" w:sz="0" w:space="0" w:color="auto"/>
        <w:left w:val="none" w:sz="0" w:space="0" w:color="auto"/>
        <w:bottom w:val="none" w:sz="0" w:space="0" w:color="auto"/>
        <w:right w:val="none" w:sz="0" w:space="0" w:color="auto"/>
      </w:divBdr>
    </w:div>
    <w:div w:id="1523861459">
      <w:bodyDiv w:val="1"/>
      <w:marLeft w:val="0"/>
      <w:marRight w:val="0"/>
      <w:marTop w:val="0"/>
      <w:marBottom w:val="0"/>
      <w:divBdr>
        <w:top w:val="none" w:sz="0" w:space="0" w:color="auto"/>
        <w:left w:val="none" w:sz="0" w:space="0" w:color="auto"/>
        <w:bottom w:val="none" w:sz="0" w:space="0" w:color="auto"/>
        <w:right w:val="none" w:sz="0" w:space="0" w:color="auto"/>
      </w:divBdr>
      <w:divsChild>
        <w:div w:id="1471895">
          <w:marLeft w:val="0"/>
          <w:marRight w:val="0"/>
          <w:marTop w:val="0"/>
          <w:marBottom w:val="0"/>
          <w:divBdr>
            <w:top w:val="none" w:sz="0" w:space="0" w:color="auto"/>
            <w:left w:val="none" w:sz="0" w:space="0" w:color="auto"/>
            <w:bottom w:val="none" w:sz="0" w:space="0" w:color="auto"/>
            <w:right w:val="none" w:sz="0" w:space="0" w:color="auto"/>
          </w:divBdr>
        </w:div>
        <w:div w:id="30497201">
          <w:marLeft w:val="0"/>
          <w:marRight w:val="0"/>
          <w:marTop w:val="0"/>
          <w:marBottom w:val="0"/>
          <w:divBdr>
            <w:top w:val="none" w:sz="0" w:space="0" w:color="auto"/>
            <w:left w:val="none" w:sz="0" w:space="0" w:color="auto"/>
            <w:bottom w:val="none" w:sz="0" w:space="0" w:color="auto"/>
            <w:right w:val="none" w:sz="0" w:space="0" w:color="auto"/>
          </w:divBdr>
        </w:div>
        <w:div w:id="33506218">
          <w:marLeft w:val="0"/>
          <w:marRight w:val="0"/>
          <w:marTop w:val="0"/>
          <w:marBottom w:val="0"/>
          <w:divBdr>
            <w:top w:val="none" w:sz="0" w:space="0" w:color="auto"/>
            <w:left w:val="none" w:sz="0" w:space="0" w:color="auto"/>
            <w:bottom w:val="none" w:sz="0" w:space="0" w:color="auto"/>
            <w:right w:val="none" w:sz="0" w:space="0" w:color="auto"/>
          </w:divBdr>
        </w:div>
        <w:div w:id="64183020">
          <w:marLeft w:val="0"/>
          <w:marRight w:val="0"/>
          <w:marTop w:val="0"/>
          <w:marBottom w:val="0"/>
          <w:divBdr>
            <w:top w:val="none" w:sz="0" w:space="0" w:color="auto"/>
            <w:left w:val="none" w:sz="0" w:space="0" w:color="auto"/>
            <w:bottom w:val="none" w:sz="0" w:space="0" w:color="auto"/>
            <w:right w:val="none" w:sz="0" w:space="0" w:color="auto"/>
          </w:divBdr>
        </w:div>
        <w:div w:id="81880349">
          <w:marLeft w:val="0"/>
          <w:marRight w:val="0"/>
          <w:marTop w:val="0"/>
          <w:marBottom w:val="0"/>
          <w:divBdr>
            <w:top w:val="none" w:sz="0" w:space="0" w:color="auto"/>
            <w:left w:val="none" w:sz="0" w:space="0" w:color="auto"/>
            <w:bottom w:val="none" w:sz="0" w:space="0" w:color="auto"/>
            <w:right w:val="none" w:sz="0" w:space="0" w:color="auto"/>
          </w:divBdr>
        </w:div>
        <w:div w:id="83693249">
          <w:marLeft w:val="0"/>
          <w:marRight w:val="0"/>
          <w:marTop w:val="0"/>
          <w:marBottom w:val="0"/>
          <w:divBdr>
            <w:top w:val="none" w:sz="0" w:space="0" w:color="auto"/>
            <w:left w:val="none" w:sz="0" w:space="0" w:color="auto"/>
            <w:bottom w:val="none" w:sz="0" w:space="0" w:color="auto"/>
            <w:right w:val="none" w:sz="0" w:space="0" w:color="auto"/>
          </w:divBdr>
        </w:div>
        <w:div w:id="85268026">
          <w:marLeft w:val="0"/>
          <w:marRight w:val="0"/>
          <w:marTop w:val="0"/>
          <w:marBottom w:val="0"/>
          <w:divBdr>
            <w:top w:val="none" w:sz="0" w:space="0" w:color="auto"/>
            <w:left w:val="none" w:sz="0" w:space="0" w:color="auto"/>
            <w:bottom w:val="none" w:sz="0" w:space="0" w:color="auto"/>
            <w:right w:val="none" w:sz="0" w:space="0" w:color="auto"/>
          </w:divBdr>
        </w:div>
        <w:div w:id="263995992">
          <w:marLeft w:val="0"/>
          <w:marRight w:val="0"/>
          <w:marTop w:val="0"/>
          <w:marBottom w:val="0"/>
          <w:divBdr>
            <w:top w:val="none" w:sz="0" w:space="0" w:color="auto"/>
            <w:left w:val="none" w:sz="0" w:space="0" w:color="auto"/>
            <w:bottom w:val="none" w:sz="0" w:space="0" w:color="auto"/>
            <w:right w:val="none" w:sz="0" w:space="0" w:color="auto"/>
          </w:divBdr>
        </w:div>
        <w:div w:id="327562305">
          <w:marLeft w:val="0"/>
          <w:marRight w:val="0"/>
          <w:marTop w:val="0"/>
          <w:marBottom w:val="0"/>
          <w:divBdr>
            <w:top w:val="none" w:sz="0" w:space="0" w:color="auto"/>
            <w:left w:val="none" w:sz="0" w:space="0" w:color="auto"/>
            <w:bottom w:val="none" w:sz="0" w:space="0" w:color="auto"/>
            <w:right w:val="none" w:sz="0" w:space="0" w:color="auto"/>
          </w:divBdr>
        </w:div>
        <w:div w:id="427972066">
          <w:marLeft w:val="0"/>
          <w:marRight w:val="0"/>
          <w:marTop w:val="0"/>
          <w:marBottom w:val="0"/>
          <w:divBdr>
            <w:top w:val="none" w:sz="0" w:space="0" w:color="auto"/>
            <w:left w:val="none" w:sz="0" w:space="0" w:color="auto"/>
            <w:bottom w:val="none" w:sz="0" w:space="0" w:color="auto"/>
            <w:right w:val="none" w:sz="0" w:space="0" w:color="auto"/>
          </w:divBdr>
        </w:div>
        <w:div w:id="449132071">
          <w:marLeft w:val="0"/>
          <w:marRight w:val="0"/>
          <w:marTop w:val="0"/>
          <w:marBottom w:val="0"/>
          <w:divBdr>
            <w:top w:val="none" w:sz="0" w:space="0" w:color="auto"/>
            <w:left w:val="none" w:sz="0" w:space="0" w:color="auto"/>
            <w:bottom w:val="none" w:sz="0" w:space="0" w:color="auto"/>
            <w:right w:val="none" w:sz="0" w:space="0" w:color="auto"/>
          </w:divBdr>
        </w:div>
        <w:div w:id="466096276">
          <w:marLeft w:val="0"/>
          <w:marRight w:val="0"/>
          <w:marTop w:val="0"/>
          <w:marBottom w:val="0"/>
          <w:divBdr>
            <w:top w:val="none" w:sz="0" w:space="0" w:color="auto"/>
            <w:left w:val="none" w:sz="0" w:space="0" w:color="auto"/>
            <w:bottom w:val="none" w:sz="0" w:space="0" w:color="auto"/>
            <w:right w:val="none" w:sz="0" w:space="0" w:color="auto"/>
          </w:divBdr>
        </w:div>
        <w:div w:id="550579350">
          <w:marLeft w:val="0"/>
          <w:marRight w:val="0"/>
          <w:marTop w:val="0"/>
          <w:marBottom w:val="0"/>
          <w:divBdr>
            <w:top w:val="none" w:sz="0" w:space="0" w:color="auto"/>
            <w:left w:val="none" w:sz="0" w:space="0" w:color="auto"/>
            <w:bottom w:val="none" w:sz="0" w:space="0" w:color="auto"/>
            <w:right w:val="none" w:sz="0" w:space="0" w:color="auto"/>
          </w:divBdr>
        </w:div>
        <w:div w:id="654991642">
          <w:marLeft w:val="0"/>
          <w:marRight w:val="0"/>
          <w:marTop w:val="0"/>
          <w:marBottom w:val="0"/>
          <w:divBdr>
            <w:top w:val="none" w:sz="0" w:space="0" w:color="auto"/>
            <w:left w:val="none" w:sz="0" w:space="0" w:color="auto"/>
            <w:bottom w:val="none" w:sz="0" w:space="0" w:color="auto"/>
            <w:right w:val="none" w:sz="0" w:space="0" w:color="auto"/>
          </w:divBdr>
        </w:div>
        <w:div w:id="739445938">
          <w:marLeft w:val="0"/>
          <w:marRight w:val="0"/>
          <w:marTop w:val="0"/>
          <w:marBottom w:val="0"/>
          <w:divBdr>
            <w:top w:val="none" w:sz="0" w:space="0" w:color="auto"/>
            <w:left w:val="none" w:sz="0" w:space="0" w:color="auto"/>
            <w:bottom w:val="none" w:sz="0" w:space="0" w:color="auto"/>
            <w:right w:val="none" w:sz="0" w:space="0" w:color="auto"/>
          </w:divBdr>
        </w:div>
        <w:div w:id="907691810">
          <w:marLeft w:val="0"/>
          <w:marRight w:val="0"/>
          <w:marTop w:val="0"/>
          <w:marBottom w:val="0"/>
          <w:divBdr>
            <w:top w:val="none" w:sz="0" w:space="0" w:color="auto"/>
            <w:left w:val="none" w:sz="0" w:space="0" w:color="auto"/>
            <w:bottom w:val="none" w:sz="0" w:space="0" w:color="auto"/>
            <w:right w:val="none" w:sz="0" w:space="0" w:color="auto"/>
          </w:divBdr>
        </w:div>
        <w:div w:id="908342405">
          <w:marLeft w:val="0"/>
          <w:marRight w:val="0"/>
          <w:marTop w:val="0"/>
          <w:marBottom w:val="0"/>
          <w:divBdr>
            <w:top w:val="none" w:sz="0" w:space="0" w:color="auto"/>
            <w:left w:val="none" w:sz="0" w:space="0" w:color="auto"/>
            <w:bottom w:val="none" w:sz="0" w:space="0" w:color="auto"/>
            <w:right w:val="none" w:sz="0" w:space="0" w:color="auto"/>
          </w:divBdr>
        </w:div>
        <w:div w:id="950357308">
          <w:marLeft w:val="0"/>
          <w:marRight w:val="0"/>
          <w:marTop w:val="0"/>
          <w:marBottom w:val="0"/>
          <w:divBdr>
            <w:top w:val="none" w:sz="0" w:space="0" w:color="auto"/>
            <w:left w:val="none" w:sz="0" w:space="0" w:color="auto"/>
            <w:bottom w:val="none" w:sz="0" w:space="0" w:color="auto"/>
            <w:right w:val="none" w:sz="0" w:space="0" w:color="auto"/>
          </w:divBdr>
        </w:div>
        <w:div w:id="955718141">
          <w:marLeft w:val="0"/>
          <w:marRight w:val="0"/>
          <w:marTop w:val="0"/>
          <w:marBottom w:val="0"/>
          <w:divBdr>
            <w:top w:val="none" w:sz="0" w:space="0" w:color="auto"/>
            <w:left w:val="none" w:sz="0" w:space="0" w:color="auto"/>
            <w:bottom w:val="none" w:sz="0" w:space="0" w:color="auto"/>
            <w:right w:val="none" w:sz="0" w:space="0" w:color="auto"/>
          </w:divBdr>
        </w:div>
        <w:div w:id="961348969">
          <w:marLeft w:val="0"/>
          <w:marRight w:val="0"/>
          <w:marTop w:val="0"/>
          <w:marBottom w:val="0"/>
          <w:divBdr>
            <w:top w:val="none" w:sz="0" w:space="0" w:color="auto"/>
            <w:left w:val="none" w:sz="0" w:space="0" w:color="auto"/>
            <w:bottom w:val="none" w:sz="0" w:space="0" w:color="auto"/>
            <w:right w:val="none" w:sz="0" w:space="0" w:color="auto"/>
          </w:divBdr>
        </w:div>
        <w:div w:id="1120104285">
          <w:marLeft w:val="0"/>
          <w:marRight w:val="0"/>
          <w:marTop w:val="0"/>
          <w:marBottom w:val="0"/>
          <w:divBdr>
            <w:top w:val="none" w:sz="0" w:space="0" w:color="auto"/>
            <w:left w:val="none" w:sz="0" w:space="0" w:color="auto"/>
            <w:bottom w:val="none" w:sz="0" w:space="0" w:color="auto"/>
            <w:right w:val="none" w:sz="0" w:space="0" w:color="auto"/>
          </w:divBdr>
        </w:div>
        <w:div w:id="1455440884">
          <w:marLeft w:val="0"/>
          <w:marRight w:val="0"/>
          <w:marTop w:val="0"/>
          <w:marBottom w:val="0"/>
          <w:divBdr>
            <w:top w:val="none" w:sz="0" w:space="0" w:color="auto"/>
            <w:left w:val="none" w:sz="0" w:space="0" w:color="auto"/>
            <w:bottom w:val="none" w:sz="0" w:space="0" w:color="auto"/>
            <w:right w:val="none" w:sz="0" w:space="0" w:color="auto"/>
          </w:divBdr>
        </w:div>
        <w:div w:id="1651985533">
          <w:marLeft w:val="0"/>
          <w:marRight w:val="0"/>
          <w:marTop w:val="0"/>
          <w:marBottom w:val="0"/>
          <w:divBdr>
            <w:top w:val="none" w:sz="0" w:space="0" w:color="auto"/>
            <w:left w:val="none" w:sz="0" w:space="0" w:color="auto"/>
            <w:bottom w:val="none" w:sz="0" w:space="0" w:color="auto"/>
            <w:right w:val="none" w:sz="0" w:space="0" w:color="auto"/>
          </w:divBdr>
        </w:div>
        <w:div w:id="1743864927">
          <w:marLeft w:val="0"/>
          <w:marRight w:val="0"/>
          <w:marTop w:val="0"/>
          <w:marBottom w:val="0"/>
          <w:divBdr>
            <w:top w:val="none" w:sz="0" w:space="0" w:color="auto"/>
            <w:left w:val="none" w:sz="0" w:space="0" w:color="auto"/>
            <w:bottom w:val="none" w:sz="0" w:space="0" w:color="auto"/>
            <w:right w:val="none" w:sz="0" w:space="0" w:color="auto"/>
          </w:divBdr>
        </w:div>
        <w:div w:id="1837071931">
          <w:marLeft w:val="0"/>
          <w:marRight w:val="0"/>
          <w:marTop w:val="0"/>
          <w:marBottom w:val="0"/>
          <w:divBdr>
            <w:top w:val="none" w:sz="0" w:space="0" w:color="auto"/>
            <w:left w:val="none" w:sz="0" w:space="0" w:color="auto"/>
            <w:bottom w:val="none" w:sz="0" w:space="0" w:color="auto"/>
            <w:right w:val="none" w:sz="0" w:space="0" w:color="auto"/>
          </w:divBdr>
        </w:div>
        <w:div w:id="1867326262">
          <w:marLeft w:val="0"/>
          <w:marRight w:val="0"/>
          <w:marTop w:val="0"/>
          <w:marBottom w:val="0"/>
          <w:divBdr>
            <w:top w:val="none" w:sz="0" w:space="0" w:color="auto"/>
            <w:left w:val="none" w:sz="0" w:space="0" w:color="auto"/>
            <w:bottom w:val="none" w:sz="0" w:space="0" w:color="auto"/>
            <w:right w:val="none" w:sz="0" w:space="0" w:color="auto"/>
          </w:divBdr>
        </w:div>
        <w:div w:id="1889410239">
          <w:marLeft w:val="0"/>
          <w:marRight w:val="0"/>
          <w:marTop w:val="0"/>
          <w:marBottom w:val="0"/>
          <w:divBdr>
            <w:top w:val="none" w:sz="0" w:space="0" w:color="auto"/>
            <w:left w:val="none" w:sz="0" w:space="0" w:color="auto"/>
            <w:bottom w:val="none" w:sz="0" w:space="0" w:color="auto"/>
            <w:right w:val="none" w:sz="0" w:space="0" w:color="auto"/>
          </w:divBdr>
        </w:div>
        <w:div w:id="2087527466">
          <w:marLeft w:val="0"/>
          <w:marRight w:val="0"/>
          <w:marTop w:val="0"/>
          <w:marBottom w:val="0"/>
          <w:divBdr>
            <w:top w:val="none" w:sz="0" w:space="0" w:color="auto"/>
            <w:left w:val="none" w:sz="0" w:space="0" w:color="auto"/>
            <w:bottom w:val="none" w:sz="0" w:space="0" w:color="auto"/>
            <w:right w:val="none" w:sz="0" w:space="0" w:color="auto"/>
          </w:divBdr>
        </w:div>
        <w:div w:id="2089115725">
          <w:marLeft w:val="0"/>
          <w:marRight w:val="0"/>
          <w:marTop w:val="0"/>
          <w:marBottom w:val="0"/>
          <w:divBdr>
            <w:top w:val="none" w:sz="0" w:space="0" w:color="auto"/>
            <w:left w:val="none" w:sz="0" w:space="0" w:color="auto"/>
            <w:bottom w:val="none" w:sz="0" w:space="0" w:color="auto"/>
            <w:right w:val="none" w:sz="0" w:space="0" w:color="auto"/>
          </w:divBdr>
        </w:div>
        <w:div w:id="2132627728">
          <w:marLeft w:val="0"/>
          <w:marRight w:val="0"/>
          <w:marTop w:val="0"/>
          <w:marBottom w:val="0"/>
          <w:divBdr>
            <w:top w:val="none" w:sz="0" w:space="0" w:color="auto"/>
            <w:left w:val="none" w:sz="0" w:space="0" w:color="auto"/>
            <w:bottom w:val="none" w:sz="0" w:space="0" w:color="auto"/>
            <w:right w:val="none" w:sz="0" w:space="0" w:color="auto"/>
          </w:divBdr>
        </w:div>
        <w:div w:id="2138133456">
          <w:marLeft w:val="0"/>
          <w:marRight w:val="0"/>
          <w:marTop w:val="0"/>
          <w:marBottom w:val="0"/>
          <w:divBdr>
            <w:top w:val="none" w:sz="0" w:space="0" w:color="auto"/>
            <w:left w:val="none" w:sz="0" w:space="0" w:color="auto"/>
            <w:bottom w:val="none" w:sz="0" w:space="0" w:color="auto"/>
            <w:right w:val="none" w:sz="0" w:space="0" w:color="auto"/>
          </w:divBdr>
        </w:div>
      </w:divsChild>
    </w:div>
    <w:div w:id="1554734197">
      <w:bodyDiv w:val="1"/>
      <w:marLeft w:val="0"/>
      <w:marRight w:val="0"/>
      <w:marTop w:val="0"/>
      <w:marBottom w:val="0"/>
      <w:divBdr>
        <w:top w:val="none" w:sz="0" w:space="0" w:color="auto"/>
        <w:left w:val="none" w:sz="0" w:space="0" w:color="auto"/>
        <w:bottom w:val="none" w:sz="0" w:space="0" w:color="auto"/>
        <w:right w:val="none" w:sz="0" w:space="0" w:color="auto"/>
      </w:divBdr>
      <w:divsChild>
        <w:div w:id="803275782">
          <w:marLeft w:val="0"/>
          <w:marRight w:val="0"/>
          <w:marTop w:val="0"/>
          <w:marBottom w:val="0"/>
          <w:divBdr>
            <w:top w:val="single" w:sz="2" w:space="0" w:color="auto"/>
            <w:left w:val="single" w:sz="2" w:space="0" w:color="auto"/>
            <w:bottom w:val="single" w:sz="2" w:space="0" w:color="auto"/>
            <w:right w:val="single" w:sz="2" w:space="0" w:color="auto"/>
          </w:divBdr>
          <w:divsChild>
            <w:div w:id="928730909">
              <w:marLeft w:val="0"/>
              <w:marRight w:val="0"/>
              <w:marTop w:val="0"/>
              <w:marBottom w:val="0"/>
              <w:divBdr>
                <w:top w:val="single" w:sz="2" w:space="0" w:color="auto"/>
                <w:left w:val="single" w:sz="2" w:space="0" w:color="auto"/>
                <w:bottom w:val="single" w:sz="2" w:space="0" w:color="auto"/>
                <w:right w:val="single" w:sz="2" w:space="0" w:color="auto"/>
              </w:divBdr>
              <w:divsChild>
                <w:div w:id="126865368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613247476">
      <w:bodyDiv w:val="1"/>
      <w:marLeft w:val="0"/>
      <w:marRight w:val="0"/>
      <w:marTop w:val="0"/>
      <w:marBottom w:val="0"/>
      <w:divBdr>
        <w:top w:val="none" w:sz="0" w:space="0" w:color="auto"/>
        <w:left w:val="none" w:sz="0" w:space="0" w:color="auto"/>
        <w:bottom w:val="none" w:sz="0" w:space="0" w:color="auto"/>
        <w:right w:val="none" w:sz="0" w:space="0" w:color="auto"/>
      </w:divBdr>
    </w:div>
    <w:div w:id="1931962317">
      <w:bodyDiv w:val="1"/>
      <w:marLeft w:val="0"/>
      <w:marRight w:val="0"/>
      <w:marTop w:val="0"/>
      <w:marBottom w:val="0"/>
      <w:divBdr>
        <w:top w:val="none" w:sz="0" w:space="0" w:color="auto"/>
        <w:left w:val="none" w:sz="0" w:space="0" w:color="auto"/>
        <w:bottom w:val="none" w:sz="0" w:space="0" w:color="auto"/>
        <w:right w:val="none" w:sz="0" w:space="0" w:color="auto"/>
      </w:divBdr>
      <w:divsChild>
        <w:div w:id="38550712">
          <w:marLeft w:val="0"/>
          <w:marRight w:val="0"/>
          <w:marTop w:val="0"/>
          <w:marBottom w:val="0"/>
          <w:divBdr>
            <w:top w:val="none" w:sz="0" w:space="0" w:color="auto"/>
            <w:left w:val="none" w:sz="0" w:space="0" w:color="auto"/>
            <w:bottom w:val="none" w:sz="0" w:space="0" w:color="auto"/>
            <w:right w:val="none" w:sz="0" w:space="0" w:color="auto"/>
          </w:divBdr>
        </w:div>
        <w:div w:id="102498350">
          <w:marLeft w:val="0"/>
          <w:marRight w:val="0"/>
          <w:marTop w:val="0"/>
          <w:marBottom w:val="0"/>
          <w:divBdr>
            <w:top w:val="none" w:sz="0" w:space="0" w:color="auto"/>
            <w:left w:val="none" w:sz="0" w:space="0" w:color="auto"/>
            <w:bottom w:val="none" w:sz="0" w:space="0" w:color="auto"/>
            <w:right w:val="none" w:sz="0" w:space="0" w:color="auto"/>
          </w:divBdr>
        </w:div>
        <w:div w:id="364259824">
          <w:marLeft w:val="0"/>
          <w:marRight w:val="0"/>
          <w:marTop w:val="0"/>
          <w:marBottom w:val="0"/>
          <w:divBdr>
            <w:top w:val="none" w:sz="0" w:space="0" w:color="auto"/>
            <w:left w:val="none" w:sz="0" w:space="0" w:color="auto"/>
            <w:bottom w:val="none" w:sz="0" w:space="0" w:color="auto"/>
            <w:right w:val="none" w:sz="0" w:space="0" w:color="auto"/>
          </w:divBdr>
        </w:div>
        <w:div w:id="564806171">
          <w:marLeft w:val="0"/>
          <w:marRight w:val="0"/>
          <w:marTop w:val="0"/>
          <w:marBottom w:val="0"/>
          <w:divBdr>
            <w:top w:val="none" w:sz="0" w:space="0" w:color="auto"/>
            <w:left w:val="none" w:sz="0" w:space="0" w:color="auto"/>
            <w:bottom w:val="none" w:sz="0" w:space="0" w:color="auto"/>
            <w:right w:val="none" w:sz="0" w:space="0" w:color="auto"/>
          </w:divBdr>
        </w:div>
        <w:div w:id="630867916">
          <w:marLeft w:val="0"/>
          <w:marRight w:val="0"/>
          <w:marTop w:val="0"/>
          <w:marBottom w:val="0"/>
          <w:divBdr>
            <w:top w:val="none" w:sz="0" w:space="0" w:color="auto"/>
            <w:left w:val="none" w:sz="0" w:space="0" w:color="auto"/>
            <w:bottom w:val="none" w:sz="0" w:space="0" w:color="auto"/>
            <w:right w:val="none" w:sz="0" w:space="0" w:color="auto"/>
          </w:divBdr>
        </w:div>
        <w:div w:id="783503498">
          <w:marLeft w:val="0"/>
          <w:marRight w:val="0"/>
          <w:marTop w:val="0"/>
          <w:marBottom w:val="0"/>
          <w:divBdr>
            <w:top w:val="none" w:sz="0" w:space="0" w:color="auto"/>
            <w:left w:val="none" w:sz="0" w:space="0" w:color="auto"/>
            <w:bottom w:val="none" w:sz="0" w:space="0" w:color="auto"/>
            <w:right w:val="none" w:sz="0" w:space="0" w:color="auto"/>
          </w:divBdr>
        </w:div>
        <w:div w:id="807816267">
          <w:marLeft w:val="0"/>
          <w:marRight w:val="0"/>
          <w:marTop w:val="0"/>
          <w:marBottom w:val="0"/>
          <w:divBdr>
            <w:top w:val="none" w:sz="0" w:space="0" w:color="auto"/>
            <w:left w:val="none" w:sz="0" w:space="0" w:color="auto"/>
            <w:bottom w:val="none" w:sz="0" w:space="0" w:color="auto"/>
            <w:right w:val="none" w:sz="0" w:space="0" w:color="auto"/>
          </w:divBdr>
        </w:div>
        <w:div w:id="1028605467">
          <w:marLeft w:val="0"/>
          <w:marRight w:val="0"/>
          <w:marTop w:val="0"/>
          <w:marBottom w:val="0"/>
          <w:divBdr>
            <w:top w:val="none" w:sz="0" w:space="0" w:color="auto"/>
            <w:left w:val="none" w:sz="0" w:space="0" w:color="auto"/>
            <w:bottom w:val="none" w:sz="0" w:space="0" w:color="auto"/>
            <w:right w:val="none" w:sz="0" w:space="0" w:color="auto"/>
          </w:divBdr>
        </w:div>
        <w:div w:id="1070427801">
          <w:marLeft w:val="0"/>
          <w:marRight w:val="0"/>
          <w:marTop w:val="0"/>
          <w:marBottom w:val="0"/>
          <w:divBdr>
            <w:top w:val="none" w:sz="0" w:space="0" w:color="auto"/>
            <w:left w:val="none" w:sz="0" w:space="0" w:color="auto"/>
            <w:bottom w:val="none" w:sz="0" w:space="0" w:color="auto"/>
            <w:right w:val="none" w:sz="0" w:space="0" w:color="auto"/>
          </w:divBdr>
        </w:div>
        <w:div w:id="1140466476">
          <w:marLeft w:val="0"/>
          <w:marRight w:val="0"/>
          <w:marTop w:val="0"/>
          <w:marBottom w:val="0"/>
          <w:divBdr>
            <w:top w:val="none" w:sz="0" w:space="0" w:color="auto"/>
            <w:left w:val="none" w:sz="0" w:space="0" w:color="auto"/>
            <w:bottom w:val="none" w:sz="0" w:space="0" w:color="auto"/>
            <w:right w:val="none" w:sz="0" w:space="0" w:color="auto"/>
          </w:divBdr>
        </w:div>
        <w:div w:id="1147671233">
          <w:marLeft w:val="0"/>
          <w:marRight w:val="0"/>
          <w:marTop w:val="0"/>
          <w:marBottom w:val="0"/>
          <w:divBdr>
            <w:top w:val="none" w:sz="0" w:space="0" w:color="auto"/>
            <w:left w:val="none" w:sz="0" w:space="0" w:color="auto"/>
            <w:bottom w:val="none" w:sz="0" w:space="0" w:color="auto"/>
            <w:right w:val="none" w:sz="0" w:space="0" w:color="auto"/>
          </w:divBdr>
        </w:div>
        <w:div w:id="1269314483">
          <w:marLeft w:val="0"/>
          <w:marRight w:val="0"/>
          <w:marTop w:val="0"/>
          <w:marBottom w:val="0"/>
          <w:divBdr>
            <w:top w:val="none" w:sz="0" w:space="0" w:color="auto"/>
            <w:left w:val="none" w:sz="0" w:space="0" w:color="auto"/>
            <w:bottom w:val="none" w:sz="0" w:space="0" w:color="auto"/>
            <w:right w:val="none" w:sz="0" w:space="0" w:color="auto"/>
          </w:divBdr>
        </w:div>
        <w:div w:id="1438990203">
          <w:marLeft w:val="0"/>
          <w:marRight w:val="0"/>
          <w:marTop w:val="0"/>
          <w:marBottom w:val="0"/>
          <w:divBdr>
            <w:top w:val="none" w:sz="0" w:space="0" w:color="auto"/>
            <w:left w:val="none" w:sz="0" w:space="0" w:color="auto"/>
            <w:bottom w:val="none" w:sz="0" w:space="0" w:color="auto"/>
            <w:right w:val="none" w:sz="0" w:space="0" w:color="auto"/>
          </w:divBdr>
        </w:div>
        <w:div w:id="1566455614">
          <w:marLeft w:val="0"/>
          <w:marRight w:val="0"/>
          <w:marTop w:val="0"/>
          <w:marBottom w:val="0"/>
          <w:divBdr>
            <w:top w:val="none" w:sz="0" w:space="0" w:color="auto"/>
            <w:left w:val="none" w:sz="0" w:space="0" w:color="auto"/>
            <w:bottom w:val="none" w:sz="0" w:space="0" w:color="auto"/>
            <w:right w:val="none" w:sz="0" w:space="0" w:color="auto"/>
          </w:divBdr>
        </w:div>
        <w:div w:id="1576474324">
          <w:marLeft w:val="0"/>
          <w:marRight w:val="0"/>
          <w:marTop w:val="0"/>
          <w:marBottom w:val="0"/>
          <w:divBdr>
            <w:top w:val="none" w:sz="0" w:space="0" w:color="auto"/>
            <w:left w:val="none" w:sz="0" w:space="0" w:color="auto"/>
            <w:bottom w:val="none" w:sz="0" w:space="0" w:color="auto"/>
            <w:right w:val="none" w:sz="0" w:space="0" w:color="auto"/>
          </w:divBdr>
        </w:div>
        <w:div w:id="1689257021">
          <w:marLeft w:val="0"/>
          <w:marRight w:val="0"/>
          <w:marTop w:val="0"/>
          <w:marBottom w:val="0"/>
          <w:divBdr>
            <w:top w:val="none" w:sz="0" w:space="0" w:color="auto"/>
            <w:left w:val="none" w:sz="0" w:space="0" w:color="auto"/>
            <w:bottom w:val="none" w:sz="0" w:space="0" w:color="auto"/>
            <w:right w:val="none" w:sz="0" w:space="0" w:color="auto"/>
          </w:divBdr>
        </w:div>
        <w:div w:id="1724061969">
          <w:marLeft w:val="0"/>
          <w:marRight w:val="0"/>
          <w:marTop w:val="0"/>
          <w:marBottom w:val="0"/>
          <w:divBdr>
            <w:top w:val="none" w:sz="0" w:space="0" w:color="auto"/>
            <w:left w:val="none" w:sz="0" w:space="0" w:color="auto"/>
            <w:bottom w:val="none" w:sz="0" w:space="0" w:color="auto"/>
            <w:right w:val="none" w:sz="0" w:space="0" w:color="auto"/>
          </w:divBdr>
        </w:div>
        <w:div w:id="1828746330">
          <w:marLeft w:val="0"/>
          <w:marRight w:val="0"/>
          <w:marTop w:val="0"/>
          <w:marBottom w:val="0"/>
          <w:divBdr>
            <w:top w:val="none" w:sz="0" w:space="0" w:color="auto"/>
            <w:left w:val="none" w:sz="0" w:space="0" w:color="auto"/>
            <w:bottom w:val="none" w:sz="0" w:space="0" w:color="auto"/>
            <w:right w:val="none" w:sz="0" w:space="0" w:color="auto"/>
          </w:divBdr>
        </w:div>
        <w:div w:id="1907301043">
          <w:marLeft w:val="0"/>
          <w:marRight w:val="0"/>
          <w:marTop w:val="0"/>
          <w:marBottom w:val="0"/>
          <w:divBdr>
            <w:top w:val="none" w:sz="0" w:space="0" w:color="auto"/>
            <w:left w:val="none" w:sz="0" w:space="0" w:color="auto"/>
            <w:bottom w:val="none" w:sz="0" w:space="0" w:color="auto"/>
            <w:right w:val="none" w:sz="0" w:space="0" w:color="auto"/>
          </w:divBdr>
        </w:div>
        <w:div w:id="1944072108">
          <w:marLeft w:val="0"/>
          <w:marRight w:val="0"/>
          <w:marTop w:val="0"/>
          <w:marBottom w:val="0"/>
          <w:divBdr>
            <w:top w:val="none" w:sz="0" w:space="0" w:color="auto"/>
            <w:left w:val="none" w:sz="0" w:space="0" w:color="auto"/>
            <w:bottom w:val="none" w:sz="0" w:space="0" w:color="auto"/>
            <w:right w:val="none" w:sz="0" w:space="0" w:color="auto"/>
          </w:divBdr>
        </w:div>
        <w:div w:id="1949434441">
          <w:marLeft w:val="0"/>
          <w:marRight w:val="0"/>
          <w:marTop w:val="0"/>
          <w:marBottom w:val="0"/>
          <w:divBdr>
            <w:top w:val="none" w:sz="0" w:space="0" w:color="auto"/>
            <w:left w:val="none" w:sz="0" w:space="0" w:color="auto"/>
            <w:bottom w:val="none" w:sz="0" w:space="0" w:color="auto"/>
            <w:right w:val="none" w:sz="0" w:space="0" w:color="auto"/>
          </w:divBdr>
        </w:div>
        <w:div w:id="2009823430">
          <w:marLeft w:val="0"/>
          <w:marRight w:val="0"/>
          <w:marTop w:val="0"/>
          <w:marBottom w:val="0"/>
          <w:divBdr>
            <w:top w:val="none" w:sz="0" w:space="0" w:color="auto"/>
            <w:left w:val="none" w:sz="0" w:space="0" w:color="auto"/>
            <w:bottom w:val="none" w:sz="0" w:space="0" w:color="auto"/>
            <w:right w:val="none" w:sz="0" w:space="0" w:color="auto"/>
          </w:divBdr>
        </w:div>
        <w:div w:id="2090425409">
          <w:marLeft w:val="0"/>
          <w:marRight w:val="0"/>
          <w:marTop w:val="0"/>
          <w:marBottom w:val="0"/>
          <w:divBdr>
            <w:top w:val="none" w:sz="0" w:space="0" w:color="auto"/>
            <w:left w:val="none" w:sz="0" w:space="0" w:color="auto"/>
            <w:bottom w:val="none" w:sz="0" w:space="0" w:color="auto"/>
            <w:right w:val="none" w:sz="0" w:space="0" w:color="auto"/>
          </w:divBdr>
        </w:div>
        <w:div w:id="2129084629">
          <w:marLeft w:val="0"/>
          <w:marRight w:val="0"/>
          <w:marTop w:val="0"/>
          <w:marBottom w:val="0"/>
          <w:divBdr>
            <w:top w:val="none" w:sz="0" w:space="0" w:color="auto"/>
            <w:left w:val="none" w:sz="0" w:space="0" w:color="auto"/>
            <w:bottom w:val="none" w:sz="0" w:space="0" w:color="auto"/>
            <w:right w:val="none" w:sz="0" w:space="0" w:color="auto"/>
          </w:divBdr>
        </w:div>
      </w:divsChild>
    </w:div>
  </w:divs>
  <w:encoding w:val="macintosh"/>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eader" Target="header1.xml" Id="rId11" /><Relationship Type="http://schemas.openxmlformats.org/officeDocument/2006/relationships/styles" Target="styles.xml" Id="rId5" /><Relationship Type="http://schemas.openxmlformats.org/officeDocument/2006/relationships/image" Target="media/image1.png" Id="rId10" /><Relationship Type="http://schemas.openxmlformats.org/officeDocument/2006/relationships/numbering" Target="numbering.xml" Id="rId4" /><Relationship Type="http://schemas.openxmlformats.org/officeDocument/2006/relationships/endnotes" Target="endnotes.xml" Id="rId9" /></Relationships>
</file>

<file path=word/_rels/header1.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DDDE6EBE9F4AF4882CE2C5A49053B39" ma:contentTypeVersion="13" ma:contentTypeDescription="Create a new document." ma:contentTypeScope="" ma:versionID="237966c213bf01bee16f3010320fa7d1">
  <xsd:schema xmlns:xsd="http://www.w3.org/2001/XMLSchema" xmlns:xs="http://www.w3.org/2001/XMLSchema" xmlns:p="http://schemas.microsoft.com/office/2006/metadata/properties" xmlns:ns2="6443aedf-e414-4f53-9630-ccffb4d875f0" targetNamespace="http://schemas.microsoft.com/office/2006/metadata/properties" ma:root="true" ma:fieldsID="37dd6bc5adb79845f617f7b0bee0758c" ns2:_="">
    <xsd:import namespace="6443aedf-e414-4f53-9630-ccffb4d875f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43aedf-e414-4f53-9630-ccffb4d875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406f274-7af8-4e05-8564-eff9e2e21b19"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indexed="true" ma:internalName="MediaServiceLocation" ma:readOnly="true">
      <xsd:simpleType>
        <xsd:restriction base="dms:Text"/>
      </xsd:simpleType>
    </xsd:element>
    <xsd:element name="MediaServiceBillingMetadata" ma:index="20"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443aedf-e414-4f53-9630-ccffb4d875f0">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FCD344A-0A8E-48F1-8717-53B0F8B25C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43aedf-e414-4f53-9630-ccffb4d875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BF6099D-DC81-446E-9ACF-32C991E947B0}">
  <ds:schemaRefs>
    <ds:schemaRef ds:uri="http://schemas.microsoft.com/office/2006/metadata/properties"/>
    <ds:schemaRef ds:uri="http://schemas.microsoft.com/office/infopath/2007/PartnerControls"/>
    <ds:schemaRef ds:uri="6443aedf-e414-4f53-9630-ccffb4d875f0"/>
  </ds:schemaRefs>
</ds:datastoreItem>
</file>

<file path=customXml/itemProps3.xml><?xml version="1.0" encoding="utf-8"?>
<ds:datastoreItem xmlns:ds="http://schemas.openxmlformats.org/officeDocument/2006/customXml" ds:itemID="{F2CA85E9-7B05-457E-A9BC-5CDCA195F167}">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Herthika Sivasuntharampillai</dc:creator>
  <keywords/>
  <dc:description/>
  <lastModifiedBy>Preston James McCabe</lastModifiedBy>
  <revision>1598</revision>
  <dcterms:created xsi:type="dcterms:W3CDTF">2025-03-20T14:48:00.0000000Z</dcterms:created>
  <dcterms:modified xsi:type="dcterms:W3CDTF">2025-03-25T21:25:59.7615657Z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0x0101004DDDE6EBE9F4AF4882CE2C5A49053B39</vt:lpwstr>
  </property>
  <property fmtid="{D5CDD505-2E9C-101B-9397-08002B2CF9AE}" pid="3" name="MediaServiceImageTags">
    <vt:lpwstr/>
  </property>
  <property fmtid="{D5CDD505-2E9C-101B-9397-08002B2CF9AE}" pid="4" name="ZOTERO_PREF_2">
    <vt:lpwstr>maticJournalAbbreviations" value="true"/&gt;&lt;/prefs&gt;&lt;/data&gt;</vt:lpwstr>
  </property>
  <property fmtid="{D5CDD505-2E9C-101B-9397-08002B2CF9AE}" pid="5" name="ZOTERO_PREF_1">
    <vt:lpwstr>&lt;data data-version="3" zotero-version="7.0.15"&gt;&lt;session id="7XVybpWP"/&gt;&lt;style id="http://www.zotero.org/styles/american-medical-association" hasBibliography="1" bibliographyStyleHasBeenSet="1"/&gt;&lt;prefs&gt;&lt;pref name="fieldType" value="Field"/&gt;&lt;pref name="auto</vt:lpwstr>
  </property>
</Properties>
</file>