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698D5" w14:textId="77777777" w:rsidR="000A1E1A" w:rsidRDefault="000A1E1A">
      <w:pPr>
        <w:pStyle w:val="Heading1"/>
      </w:pPr>
    </w:p>
    <w:tbl>
      <w:tblPr>
        <w:tblStyle w:val="TableGrid"/>
        <w:tblW w:w="14559" w:type="dxa"/>
        <w:tblLayout w:type="fixed"/>
        <w:tblLook w:val="04A0" w:firstRow="1" w:lastRow="0" w:firstColumn="1" w:lastColumn="0" w:noHBand="0" w:noVBand="1"/>
      </w:tblPr>
      <w:tblGrid>
        <w:gridCol w:w="405"/>
        <w:gridCol w:w="1404"/>
        <w:gridCol w:w="2160"/>
        <w:gridCol w:w="1696"/>
        <w:gridCol w:w="3585"/>
        <w:gridCol w:w="2033"/>
        <w:gridCol w:w="3276"/>
      </w:tblGrid>
      <w:tr w:rsidR="00FD5645" w14:paraId="075698DC" w14:textId="77777777" w:rsidTr="7396C3A3">
        <w:tc>
          <w:tcPr>
            <w:tcW w:w="405" w:type="dxa"/>
          </w:tcPr>
          <w:p w14:paraId="02F33D85" w14:textId="44E25FCF" w:rsidR="00FD5645" w:rsidRPr="0082264A" w:rsidRDefault="00FD5645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1404" w:type="dxa"/>
          </w:tcPr>
          <w:p w14:paraId="075698D6" w14:textId="05AE189F" w:rsidR="00FD5645" w:rsidRPr="0082264A" w:rsidRDefault="00FD5645">
            <w:pPr>
              <w:rPr>
                <w:b/>
                <w:bCs/>
              </w:rPr>
            </w:pPr>
            <w:r w:rsidRPr="0082264A">
              <w:rPr>
                <w:b/>
                <w:bCs/>
              </w:rPr>
              <w:t>Author(s) and Year</w:t>
            </w:r>
          </w:p>
        </w:tc>
        <w:tc>
          <w:tcPr>
            <w:tcW w:w="2160" w:type="dxa"/>
          </w:tcPr>
          <w:p w14:paraId="075698D7" w14:textId="77777777" w:rsidR="00FD5645" w:rsidRPr="0082264A" w:rsidRDefault="00FD5645">
            <w:pPr>
              <w:rPr>
                <w:b/>
                <w:bCs/>
              </w:rPr>
            </w:pPr>
            <w:r w:rsidRPr="0082264A">
              <w:rPr>
                <w:b/>
                <w:bCs/>
              </w:rPr>
              <w:t>Study Title / Source</w:t>
            </w:r>
          </w:p>
        </w:tc>
        <w:tc>
          <w:tcPr>
            <w:tcW w:w="1696" w:type="dxa"/>
          </w:tcPr>
          <w:p w14:paraId="075698D8" w14:textId="77777777" w:rsidR="00FD5645" w:rsidRPr="0082264A" w:rsidRDefault="00FD5645">
            <w:pPr>
              <w:rPr>
                <w:b/>
                <w:bCs/>
              </w:rPr>
            </w:pPr>
            <w:r w:rsidRPr="0082264A">
              <w:rPr>
                <w:b/>
                <w:bCs/>
              </w:rPr>
              <w:t>Research Purpose / Aim</w:t>
            </w:r>
          </w:p>
        </w:tc>
        <w:tc>
          <w:tcPr>
            <w:tcW w:w="3585" w:type="dxa"/>
          </w:tcPr>
          <w:p w14:paraId="075698D9" w14:textId="77777777" w:rsidR="00FD5645" w:rsidRPr="0082264A" w:rsidRDefault="00FD5645">
            <w:pPr>
              <w:rPr>
                <w:b/>
                <w:bCs/>
              </w:rPr>
            </w:pPr>
            <w:r w:rsidRPr="0082264A">
              <w:rPr>
                <w:b/>
                <w:bCs/>
              </w:rPr>
              <w:t>Methodology</w:t>
            </w:r>
          </w:p>
        </w:tc>
        <w:tc>
          <w:tcPr>
            <w:tcW w:w="2033" w:type="dxa"/>
          </w:tcPr>
          <w:p w14:paraId="075698DA" w14:textId="77777777" w:rsidR="00FD5645" w:rsidRPr="0082264A" w:rsidRDefault="00FD5645">
            <w:pPr>
              <w:rPr>
                <w:b/>
                <w:bCs/>
              </w:rPr>
            </w:pPr>
            <w:r w:rsidRPr="0082264A">
              <w:rPr>
                <w:b/>
                <w:bCs/>
              </w:rPr>
              <w:t>Key Findings</w:t>
            </w:r>
          </w:p>
        </w:tc>
        <w:tc>
          <w:tcPr>
            <w:tcW w:w="3276" w:type="dxa"/>
          </w:tcPr>
          <w:p w14:paraId="075698DB" w14:textId="77777777" w:rsidR="00FD5645" w:rsidRPr="0082264A" w:rsidRDefault="00FD5645">
            <w:pPr>
              <w:rPr>
                <w:b/>
                <w:bCs/>
              </w:rPr>
            </w:pPr>
            <w:r w:rsidRPr="0082264A">
              <w:rPr>
                <w:b/>
                <w:bCs/>
              </w:rPr>
              <w:t>Limitations</w:t>
            </w:r>
          </w:p>
        </w:tc>
      </w:tr>
      <w:tr w:rsidR="00FD5645" w14:paraId="075698E3" w14:textId="77777777" w:rsidTr="7396C3A3">
        <w:tc>
          <w:tcPr>
            <w:tcW w:w="405" w:type="dxa"/>
          </w:tcPr>
          <w:p w14:paraId="107B9950" w14:textId="3B8265B6" w:rsidR="00FD5645" w:rsidRDefault="00FD5645">
            <w:r>
              <w:t>1</w:t>
            </w:r>
          </w:p>
        </w:tc>
        <w:tc>
          <w:tcPr>
            <w:tcW w:w="1404" w:type="dxa"/>
          </w:tcPr>
          <w:p w14:paraId="075698DD" w14:textId="1DC10222" w:rsidR="00FD5645" w:rsidRPr="000D08B6" w:rsidRDefault="00FD5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Nurminen et al., 2020</w:t>
            </w:r>
          </w:p>
        </w:tc>
        <w:tc>
          <w:tcPr>
            <w:tcW w:w="2160" w:type="dxa"/>
          </w:tcPr>
          <w:p w14:paraId="075698DE" w14:textId="77777777" w:rsidR="00FD5645" w:rsidRPr="000D08B6" w:rsidRDefault="00FD5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Flow Diverter Stents for Internal Carotid Artery Aneurysms</w:t>
            </w:r>
          </w:p>
        </w:tc>
        <w:tc>
          <w:tcPr>
            <w:tcW w:w="1696" w:type="dxa"/>
          </w:tcPr>
          <w:p w14:paraId="075698DF" w14:textId="77777777" w:rsidR="00FD5645" w:rsidRPr="000D08B6" w:rsidRDefault="00FD5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To assess aneurysm occlusion rates, complications, and patient outcomes for ICA aneurysms treated with flow diverter stents.</w:t>
            </w:r>
          </w:p>
        </w:tc>
        <w:tc>
          <w:tcPr>
            <w:tcW w:w="3585" w:type="dxa"/>
          </w:tcPr>
          <w:p w14:paraId="075698E0" w14:textId="77777777" w:rsidR="00FD5645" w:rsidRPr="000D08B6" w:rsidRDefault="00FD5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Retrospective study of 62 patients (76 aneurysms) treated with flow diverters. Data from the Helsinki NeuroEndovascular database (2014–2019). Outcome measures: occlusion rates, ischemic/hemorrhagic complications, functional outcomes (mRS).</w:t>
            </w:r>
          </w:p>
        </w:tc>
        <w:tc>
          <w:tcPr>
            <w:tcW w:w="2033" w:type="dxa"/>
          </w:tcPr>
          <w:p w14:paraId="075698E1" w14:textId="77777777" w:rsidR="00FD5645" w:rsidRPr="000D08B6" w:rsidRDefault="00FD5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- Aneurysm occlusion rate at last follow-up: 89%.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br/>
              <w:t>- Ischemic complications: 4.8%.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br/>
              <w:t>- Functional outcomes improved (mRS score ≤2).</w:t>
            </w:r>
          </w:p>
        </w:tc>
        <w:tc>
          <w:tcPr>
            <w:tcW w:w="3276" w:type="dxa"/>
          </w:tcPr>
          <w:p w14:paraId="075698E2" w14:textId="77777777" w:rsidR="00FD5645" w:rsidRPr="000D08B6" w:rsidRDefault="00FD5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- Retrospective design with selection bias.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br/>
              <w:t>- Small number of ruptured aneurysms (only 4 cases).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br/>
              <w:t>- No systematic screening for asymptomatic complications.</w:t>
            </w:r>
          </w:p>
        </w:tc>
      </w:tr>
      <w:tr w:rsidR="00FD5645" w14:paraId="075698EA" w14:textId="77777777" w:rsidTr="7396C3A3">
        <w:tc>
          <w:tcPr>
            <w:tcW w:w="405" w:type="dxa"/>
          </w:tcPr>
          <w:p w14:paraId="07E278AA" w14:textId="1484C4F8" w:rsidR="00FD5645" w:rsidRDefault="00FD5645">
            <w:r>
              <w:t>2</w:t>
            </w:r>
          </w:p>
        </w:tc>
        <w:tc>
          <w:tcPr>
            <w:tcW w:w="1404" w:type="dxa"/>
          </w:tcPr>
          <w:p w14:paraId="075698E4" w14:textId="4061ED89" w:rsidR="00FD5645" w:rsidRPr="000D08B6" w:rsidRDefault="00FD5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Shehata et al., 2023</w:t>
            </w:r>
          </w:p>
        </w:tc>
        <w:tc>
          <w:tcPr>
            <w:tcW w:w="2160" w:type="dxa"/>
          </w:tcPr>
          <w:p w14:paraId="075698E5" w14:textId="77777777" w:rsidR="00FD5645" w:rsidRPr="000D08B6" w:rsidRDefault="00FD5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Long-term Outcomes of Flow Diversion for Unruptured Intracranial Aneurysms: A Systematic Review and Meta-Analysis</w:t>
            </w:r>
          </w:p>
        </w:tc>
        <w:tc>
          <w:tcPr>
            <w:tcW w:w="1696" w:type="dxa"/>
          </w:tcPr>
          <w:p w14:paraId="075698E6" w14:textId="77777777" w:rsidR="00FD5645" w:rsidRPr="000D08B6" w:rsidRDefault="00FD5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To assess long-term (&gt;1 year) safety and efficacy of flow diverters for unruptured intracranial aneurysms.</w:t>
            </w:r>
          </w:p>
        </w:tc>
        <w:tc>
          <w:tcPr>
            <w:tcW w:w="3585" w:type="dxa"/>
          </w:tcPr>
          <w:p w14:paraId="075698E7" w14:textId="77777777" w:rsidR="00FD5645" w:rsidRPr="000D08B6" w:rsidRDefault="00FD5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Systematic review and meta-analysis of 11 studies (1,186 patients). Data from PubMed, Web of Science, Embase, and SCOPUS (up to Feb 24, 2022). Outcome measures: occlusion rates, in-stent stenosis, retreatment rates, complications.</w:t>
            </w:r>
          </w:p>
        </w:tc>
        <w:tc>
          <w:tcPr>
            <w:tcW w:w="2033" w:type="dxa"/>
          </w:tcPr>
          <w:p w14:paraId="075698E8" w14:textId="77777777" w:rsidR="00FD5645" w:rsidRPr="000D08B6" w:rsidRDefault="00FD5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- Complete occlusion rates: 1 year (77%), 3 years (89.4%), 5 years (96%).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br/>
              <w:t>- Retreatment rate: 5%.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br/>
              <w:t>- In-stent stenosis: 4.8%.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br/>
              <w:t>- No delayed aneurysm rupture; one case of delayed ischemic stroke.</w:t>
            </w:r>
          </w:p>
        </w:tc>
        <w:tc>
          <w:tcPr>
            <w:tcW w:w="3276" w:type="dxa"/>
          </w:tcPr>
          <w:p w14:paraId="075698E9" w14:textId="77777777" w:rsidR="00FD5645" w:rsidRPr="000D08B6" w:rsidRDefault="00FD5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- High heterogeneity across studies.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br/>
              <w:t>- Lack of randomized controlled trials.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br/>
              <w:t>- No direct comparison to other treatment modalities.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br/>
              <w:t>- Follow-up durations varied.</w:t>
            </w:r>
          </w:p>
        </w:tc>
      </w:tr>
      <w:tr w:rsidR="00FD5645" w14:paraId="075698F8" w14:textId="77777777" w:rsidTr="7396C3A3">
        <w:tc>
          <w:tcPr>
            <w:tcW w:w="405" w:type="dxa"/>
          </w:tcPr>
          <w:p w14:paraId="44B94C77" w14:textId="44852D5E" w:rsidR="00FD5645" w:rsidRDefault="00FD5645" w:rsidP="00DC18AF">
            <w:r>
              <w:t>3</w:t>
            </w:r>
          </w:p>
        </w:tc>
        <w:tc>
          <w:tcPr>
            <w:tcW w:w="1404" w:type="dxa"/>
          </w:tcPr>
          <w:p w14:paraId="075698F2" w14:textId="76375B5F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Gupta et al. (2024)</w:t>
            </w:r>
          </w:p>
        </w:tc>
        <w:tc>
          <w:tcPr>
            <w:tcW w:w="2160" w:type="dxa"/>
          </w:tcPr>
          <w:p w14:paraId="075698F3" w14:textId="64F1083D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Does Small Aneurysm Size (&lt;10 mm) Predict Complete Occlusion After Flow Diversion? A Surpass Evolve Single-Center Study (Journal of Endovascular Therapy)</w:t>
            </w:r>
          </w:p>
        </w:tc>
        <w:tc>
          <w:tcPr>
            <w:tcW w:w="1696" w:type="dxa"/>
          </w:tcPr>
          <w:p w14:paraId="075698F4" w14:textId="77777777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To assess the long-term safety and efficacy outcomes of the Surpass Evolve flow diverter (SEFD) in treating intracranial aneurysms and identify predictors of complete occlusion.</w:t>
            </w:r>
          </w:p>
        </w:tc>
        <w:tc>
          <w:tcPr>
            <w:tcW w:w="3585" w:type="dxa"/>
          </w:tcPr>
          <w:p w14:paraId="075698F5" w14:textId="77777777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Retrospective review of 51 patients with 80 aneurysms treated with SEFD from 2020-2022; follow-ups at 6 months, 1 year, and 2 years.</w:t>
            </w:r>
          </w:p>
        </w:tc>
        <w:tc>
          <w:tcPr>
            <w:tcW w:w="2033" w:type="dxa"/>
          </w:tcPr>
          <w:p w14:paraId="075698F6" w14:textId="77777777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Aneurysm size &lt;10 mm predicted complete occlusion (88.8% at 2 years); SEFD had a favorable safety profile with 7.2% major complications.</w:t>
            </w:r>
          </w:p>
        </w:tc>
        <w:tc>
          <w:tcPr>
            <w:tcW w:w="3276" w:type="dxa"/>
          </w:tcPr>
          <w:p w14:paraId="075698F7" w14:textId="77777777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Retrospective design, single-center study, small sample size, and loss to follow-up (8.7%).</w:t>
            </w:r>
          </w:p>
        </w:tc>
      </w:tr>
      <w:tr w:rsidR="00FD5645" w14:paraId="075698FF" w14:textId="77777777" w:rsidTr="7396C3A3">
        <w:tc>
          <w:tcPr>
            <w:tcW w:w="405" w:type="dxa"/>
          </w:tcPr>
          <w:p w14:paraId="09067A12" w14:textId="0DD5ED58" w:rsidR="00FD5645" w:rsidRDefault="00FD5645" w:rsidP="00DC18AF">
            <w:r>
              <w:t>4</w:t>
            </w:r>
          </w:p>
        </w:tc>
        <w:tc>
          <w:tcPr>
            <w:tcW w:w="1404" w:type="dxa"/>
          </w:tcPr>
          <w:p w14:paraId="075698F9" w14:textId="7C093A17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Covell et al. (2024)</w:t>
            </w:r>
          </w:p>
        </w:tc>
        <w:tc>
          <w:tcPr>
            <w:tcW w:w="2160" w:type="dxa"/>
          </w:tcPr>
          <w:p w14:paraId="075698FA" w14:textId="77777777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Transcirculation Approaches to Endovascular Flow Diversion of Intracranial Aneurysms: A Systematic Review With Technical Considerations (Operative Neurosurgery)</w:t>
            </w:r>
          </w:p>
        </w:tc>
        <w:tc>
          <w:tcPr>
            <w:tcW w:w="1696" w:type="dxa"/>
          </w:tcPr>
          <w:p w14:paraId="075698FB" w14:textId="77777777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To review the use of transcirculation approaches in flow diversion for intracranial aneurysms, assessing safety, efficacy, and indications.</w:t>
            </w:r>
          </w:p>
        </w:tc>
        <w:tc>
          <w:tcPr>
            <w:tcW w:w="3585" w:type="dxa"/>
          </w:tcPr>
          <w:p w14:paraId="075698FC" w14:textId="77777777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Systematic review of 12 studies involving 19 patients; analysis of aneurysm characteristics, procedural details, occlusion rates, and complications.</w:t>
            </w:r>
          </w:p>
        </w:tc>
        <w:tc>
          <w:tcPr>
            <w:tcW w:w="2033" w:type="dxa"/>
          </w:tcPr>
          <w:p w14:paraId="075698FD" w14:textId="77777777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Transcirculation flow diversion achieved 84.6% success in occlusion; Pipeline Embolization Device (PED) was most used; 15.4% had intraoperative complications.</w:t>
            </w:r>
          </w:p>
        </w:tc>
        <w:tc>
          <w:tcPr>
            <w:tcW w:w="3276" w:type="dxa"/>
          </w:tcPr>
          <w:p w14:paraId="075698FE" w14:textId="77777777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Small sample size, potential publication bias, high variability in procedures, and expert-dependent outcomes.</w:t>
            </w:r>
          </w:p>
        </w:tc>
      </w:tr>
      <w:tr w:rsidR="00FD5645" w14:paraId="07569906" w14:textId="77777777" w:rsidTr="7396C3A3">
        <w:tc>
          <w:tcPr>
            <w:tcW w:w="405" w:type="dxa"/>
          </w:tcPr>
          <w:p w14:paraId="42B298FD" w14:textId="62FF12FF" w:rsidR="00FD5645" w:rsidRDefault="00FD5645" w:rsidP="00DC18AF">
            <w:r>
              <w:t>5</w:t>
            </w:r>
          </w:p>
        </w:tc>
        <w:tc>
          <w:tcPr>
            <w:tcW w:w="1404" w:type="dxa"/>
          </w:tcPr>
          <w:p w14:paraId="07569900" w14:textId="314517E6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 xml:space="preserve">Richa Singh Chauhan et al. 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(2020)</w:t>
            </w:r>
          </w:p>
        </w:tc>
        <w:tc>
          <w:tcPr>
            <w:tcW w:w="2160" w:type="dxa"/>
          </w:tcPr>
          <w:p w14:paraId="07569901" w14:textId="77777777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lastRenderedPageBreak/>
              <w:t>Cavernous carotid artery large aneurysm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 xml:space="preserve"> treated 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with a new flow diverter – </w:t>
            </w:r>
            <w:proofErr w:type="spellStart"/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Xcalibur</w:t>
            </w:r>
            <w:proofErr w:type="spellEnd"/>
            <w:r w:rsidRPr="000D08B6">
              <w:rPr>
                <w:rFonts w:ascii="Times New Roman" w:hAnsi="Times New Roman" w:cs="Times New Roman"/>
                <w:sz w:val="18"/>
                <w:szCs w:val="18"/>
              </w:rPr>
              <w:t xml:space="preserve"> aneurysm occlusion device (Interventional Neuroradiology)</w:t>
            </w:r>
          </w:p>
        </w:tc>
        <w:tc>
          <w:tcPr>
            <w:tcW w:w="1696" w:type="dxa"/>
          </w:tcPr>
          <w:p w14:paraId="07569902" w14:textId="77777777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To report the first case of a 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symptomatic cavernous segment aneurysm treated with the </w:t>
            </w:r>
            <w:proofErr w:type="spellStart"/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Xcalibur</w:t>
            </w:r>
            <w:proofErr w:type="spellEnd"/>
            <w:r w:rsidRPr="000D08B6">
              <w:rPr>
                <w:rFonts w:ascii="Times New Roman" w:hAnsi="Times New Roman" w:cs="Times New Roman"/>
                <w:sz w:val="18"/>
                <w:szCs w:val="18"/>
              </w:rPr>
              <w:t xml:space="preserve"> Aneurysm Occlusion Device (AOD).</w:t>
            </w:r>
          </w:p>
        </w:tc>
        <w:tc>
          <w:tcPr>
            <w:tcW w:w="3585" w:type="dxa"/>
          </w:tcPr>
          <w:p w14:paraId="07569903" w14:textId="77777777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Case study of a 58-year-old female with a large, symptomatic, unruptured right 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cavernous ICA aneurysm, treated using the </w:t>
            </w:r>
            <w:proofErr w:type="spellStart"/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Xcalibur</w:t>
            </w:r>
            <w:proofErr w:type="spellEnd"/>
            <w:r w:rsidRPr="000D08B6">
              <w:rPr>
                <w:rFonts w:ascii="Times New Roman" w:hAnsi="Times New Roman" w:cs="Times New Roman"/>
                <w:sz w:val="18"/>
                <w:szCs w:val="18"/>
              </w:rPr>
              <w:t xml:space="preserve"> AOD. Follow-up at 3 and 6 months.</w:t>
            </w:r>
          </w:p>
        </w:tc>
        <w:tc>
          <w:tcPr>
            <w:tcW w:w="2033" w:type="dxa"/>
          </w:tcPr>
          <w:p w14:paraId="07569904" w14:textId="77777777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Complete aneurysm exclusion with symptom 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resolution at 6 months. Promising alternative to existing flow diverters.</w:t>
            </w:r>
          </w:p>
        </w:tc>
        <w:tc>
          <w:tcPr>
            <w:tcW w:w="3276" w:type="dxa"/>
          </w:tcPr>
          <w:p w14:paraId="07569905" w14:textId="77777777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Single case report; broader validation needed. Limited suitability for vessels 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&lt;2.75mm. Potential conflict of interest disclosed.</w:t>
            </w:r>
          </w:p>
        </w:tc>
      </w:tr>
      <w:tr w:rsidR="00FD5645" w14:paraId="07569914" w14:textId="77777777" w:rsidTr="7396C3A3">
        <w:tc>
          <w:tcPr>
            <w:tcW w:w="405" w:type="dxa"/>
          </w:tcPr>
          <w:p w14:paraId="79F5CB95" w14:textId="6E88AC28" w:rsidR="00FD5645" w:rsidRPr="4417093F" w:rsidRDefault="00FD5645" w:rsidP="00DC18AF">
            <w:r>
              <w:lastRenderedPageBreak/>
              <w:t>6</w:t>
            </w:r>
          </w:p>
        </w:tc>
        <w:tc>
          <w:tcPr>
            <w:tcW w:w="1404" w:type="dxa"/>
          </w:tcPr>
          <w:p w14:paraId="0756990E" w14:textId="37635D0F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proofErr w:type="spellStart"/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Madaelil</w:t>
            </w:r>
            <w:proofErr w:type="spellEnd"/>
            <w:r w:rsidRPr="000D08B6">
              <w:rPr>
                <w:rFonts w:ascii="Times New Roman" w:hAnsi="Times New Roman" w:cs="Times New Roman"/>
                <w:sz w:val="18"/>
                <w:szCs w:val="18"/>
              </w:rPr>
              <w:t xml:space="preserve"> et al. (2017)</w:t>
            </w:r>
          </w:p>
        </w:tc>
        <w:tc>
          <w:tcPr>
            <w:tcW w:w="2160" w:type="dxa"/>
          </w:tcPr>
          <w:p w14:paraId="0756990F" w14:textId="451186DC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Flow Diversion in Ruptured Intracranial Aneurysms: A Meta-Analysis (American Journal of Neuroradiology)</w:t>
            </w:r>
          </w:p>
        </w:tc>
        <w:tc>
          <w:tcPr>
            <w:tcW w:w="1696" w:type="dxa"/>
          </w:tcPr>
          <w:p w14:paraId="07569910" w14:textId="77777777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To estimate angiographic occlusion rates and clinical outcomes in patients with ruptured intracranial aneurysms treated with flow-diverting devices.</w:t>
            </w:r>
          </w:p>
        </w:tc>
        <w:tc>
          <w:tcPr>
            <w:tcW w:w="3585" w:type="dxa"/>
          </w:tcPr>
          <w:p w14:paraId="07569911" w14:textId="77777777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Meta-analysis of 20 studies, including 126 cases of ruptured aneurysms treated with flow diversion. Statistical comparisons were made using the Fisher exact test.</w:t>
            </w:r>
          </w:p>
        </w:tc>
        <w:tc>
          <w:tcPr>
            <w:tcW w:w="2033" w:type="dxa"/>
          </w:tcPr>
          <w:p w14:paraId="07569912" w14:textId="77777777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 xml:space="preserve">90% complete aneurysm occlusion. 81% favorable clinical outcomes. Aneurysms &gt;7 mm had lower favorable outcomes. Aneurysms &gt;2 cm had a higher risk of </w:t>
            </w:r>
            <w:proofErr w:type="spellStart"/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rerupture</w:t>
            </w:r>
            <w:proofErr w:type="spellEnd"/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76" w:type="dxa"/>
          </w:tcPr>
          <w:p w14:paraId="07569913" w14:textId="77777777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Reporting bias from case reports. Variability in treatment protocols. Small sample size in some subgroups. Inconsistent follow-up durations across studies.</w:t>
            </w:r>
          </w:p>
        </w:tc>
      </w:tr>
      <w:tr w:rsidR="00FD5645" w14:paraId="0756991B" w14:textId="77777777" w:rsidTr="7396C3A3">
        <w:tc>
          <w:tcPr>
            <w:tcW w:w="405" w:type="dxa"/>
          </w:tcPr>
          <w:p w14:paraId="14455433" w14:textId="4C6F7FD6" w:rsidR="00FD5645" w:rsidRPr="4417093F" w:rsidRDefault="00FD5645" w:rsidP="00DC18AF">
            <w:r>
              <w:t>7</w:t>
            </w:r>
          </w:p>
        </w:tc>
        <w:tc>
          <w:tcPr>
            <w:tcW w:w="1404" w:type="dxa"/>
          </w:tcPr>
          <w:p w14:paraId="07569915" w14:textId="6472697A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Luqiong</w:t>
            </w:r>
            <w:proofErr w:type="spellEnd"/>
            <w:r w:rsidRPr="000D08B6">
              <w:rPr>
                <w:rFonts w:ascii="Times New Roman" w:hAnsi="Times New Roman" w:cs="Times New Roman"/>
                <w:sz w:val="18"/>
                <w:szCs w:val="18"/>
              </w:rPr>
              <w:t xml:space="preserve"> Jia et al. (2020)</w:t>
            </w:r>
          </w:p>
        </w:tc>
        <w:tc>
          <w:tcPr>
            <w:tcW w:w="2160" w:type="dxa"/>
          </w:tcPr>
          <w:p w14:paraId="07569916" w14:textId="77777777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 xml:space="preserve">Evaluating the </w:t>
            </w:r>
            <w:proofErr w:type="spellStart"/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Tubridge</w:t>
            </w:r>
            <w:proofErr w:type="spellEnd"/>
            <w:r w:rsidRPr="000D08B6">
              <w:rPr>
                <w:rFonts w:ascii="Times New Roman" w:hAnsi="Times New Roman" w:cs="Times New Roman"/>
                <w:sz w:val="18"/>
                <w:szCs w:val="18"/>
              </w:rPr>
              <w:t xml:space="preserve">™ Flow Diverter for </w:t>
            </w:r>
            <w:r w:rsidRPr="000D08B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Large Cavernous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 xml:space="preserve"> Carotid Artery Aneurysms (Chinese Neurosurgical Journal)</w:t>
            </w:r>
          </w:p>
        </w:tc>
        <w:tc>
          <w:tcPr>
            <w:tcW w:w="1696" w:type="dxa"/>
          </w:tcPr>
          <w:p w14:paraId="07569917" w14:textId="77777777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 xml:space="preserve">To assess the safety and efficacy of the </w:t>
            </w:r>
            <w:proofErr w:type="spellStart"/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Tubridge</w:t>
            </w:r>
            <w:proofErr w:type="spellEnd"/>
            <w:r w:rsidRPr="000D08B6">
              <w:rPr>
                <w:rFonts w:ascii="Times New Roman" w:hAnsi="Times New Roman" w:cs="Times New Roman"/>
                <w:sz w:val="18"/>
                <w:szCs w:val="18"/>
              </w:rPr>
              <w:t xml:space="preserve">™ Flow Diverter (TFD) in treating </w:t>
            </w:r>
            <w:proofErr w:type="gramStart"/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large cavernous</w:t>
            </w:r>
            <w:proofErr w:type="gramEnd"/>
            <w:r w:rsidRPr="000D08B6">
              <w:rPr>
                <w:rFonts w:ascii="Times New Roman" w:hAnsi="Times New Roman" w:cs="Times New Roman"/>
                <w:sz w:val="18"/>
                <w:szCs w:val="18"/>
              </w:rPr>
              <w:t xml:space="preserve"> carotid artery aneurysms (LCCAs, 10–25 mm).</w:t>
            </w:r>
          </w:p>
        </w:tc>
        <w:tc>
          <w:tcPr>
            <w:tcW w:w="3585" w:type="dxa"/>
          </w:tcPr>
          <w:p w14:paraId="07569918" w14:textId="77777777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Single-center, retrospective study (2013–2014). Seven patients treated with TFDs and coils. Angiographic and clinical follow-ups conducted over a median period of 73.3 months.</w:t>
            </w:r>
          </w:p>
        </w:tc>
        <w:tc>
          <w:tcPr>
            <w:tcW w:w="2033" w:type="dxa"/>
          </w:tcPr>
          <w:p w14:paraId="07569919" w14:textId="77777777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 xml:space="preserve">100% favorable angiographic outcomes (O’Kelly–Marotta Scale C or D). No new neurological deficits. Six patients had an </w:t>
            </w:r>
            <w:proofErr w:type="spellStart"/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mRS</w:t>
            </w:r>
            <w:proofErr w:type="spellEnd"/>
            <w:r w:rsidRPr="000D08B6">
              <w:rPr>
                <w:rFonts w:ascii="Times New Roman" w:hAnsi="Times New Roman" w:cs="Times New Roman"/>
                <w:sz w:val="18"/>
                <w:szCs w:val="18"/>
              </w:rPr>
              <w:t xml:space="preserve"> score of 0. One patient had parent artery occlusion but remained asymptomatic.</w:t>
            </w:r>
          </w:p>
        </w:tc>
        <w:tc>
          <w:tcPr>
            <w:tcW w:w="3276" w:type="dxa"/>
          </w:tcPr>
          <w:p w14:paraId="0756991A" w14:textId="77777777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Small sample size (only seven patients). Single-center, retrospective study. Lack of imaging data beyond symptom resolution. Larger, controlled trials needed.</w:t>
            </w:r>
          </w:p>
        </w:tc>
      </w:tr>
      <w:tr w:rsidR="00FD5645" w14:paraId="07569922" w14:textId="77777777" w:rsidTr="7396C3A3">
        <w:tc>
          <w:tcPr>
            <w:tcW w:w="405" w:type="dxa"/>
          </w:tcPr>
          <w:p w14:paraId="5F774860" w14:textId="6C880D61" w:rsidR="00FD5645" w:rsidRDefault="00FD5645" w:rsidP="00DC18AF">
            <w:r>
              <w:t>8</w:t>
            </w:r>
          </w:p>
        </w:tc>
        <w:tc>
          <w:tcPr>
            <w:tcW w:w="1404" w:type="dxa"/>
          </w:tcPr>
          <w:p w14:paraId="0756991C" w14:textId="2BC92AAF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Nguyen et al., 2024</w:t>
            </w:r>
          </w:p>
        </w:tc>
        <w:tc>
          <w:tcPr>
            <w:tcW w:w="2160" w:type="dxa"/>
          </w:tcPr>
          <w:p w14:paraId="0756991D" w14:textId="74335ED8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 xml:space="preserve">Sequential Flow Diversion After Nitinol Stent Placement for a Large, Matricidal </w:t>
            </w:r>
            <w:r w:rsidRPr="000D08B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Cavernous Internal Carotid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 xml:space="preserve"> Artery Aneurysm</w:t>
            </w:r>
          </w:p>
        </w:tc>
        <w:tc>
          <w:tcPr>
            <w:tcW w:w="1696" w:type="dxa"/>
          </w:tcPr>
          <w:p w14:paraId="0756991E" w14:textId="2750B756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 xml:space="preserve">To demonstrate the placement of sequential Surpass Evolve flow diverters within a </w:t>
            </w:r>
            <w:proofErr w:type="spellStart"/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Neuroform</w:t>
            </w:r>
            <w:proofErr w:type="spellEnd"/>
            <w:r w:rsidRPr="000D08B6">
              <w:rPr>
                <w:rFonts w:ascii="Times New Roman" w:hAnsi="Times New Roman" w:cs="Times New Roman"/>
                <w:sz w:val="18"/>
                <w:szCs w:val="18"/>
              </w:rPr>
              <w:t xml:space="preserve"> Atlas nitinol stent for treating a previously stented large ICA aneurysm.</w:t>
            </w:r>
          </w:p>
        </w:tc>
        <w:tc>
          <w:tcPr>
            <w:tcW w:w="3585" w:type="dxa"/>
          </w:tcPr>
          <w:p w14:paraId="0756991F" w14:textId="4E79A48B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 xml:space="preserve">Case study with a technical video documenting the treatment of a patient with a symptomatic cavernous ICA aneurysm, initially treated with a </w:t>
            </w:r>
            <w:proofErr w:type="spellStart"/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Neuroform</w:t>
            </w:r>
            <w:proofErr w:type="spellEnd"/>
            <w:r w:rsidRPr="000D08B6">
              <w:rPr>
                <w:rFonts w:ascii="Times New Roman" w:hAnsi="Times New Roman" w:cs="Times New Roman"/>
                <w:sz w:val="18"/>
                <w:szCs w:val="18"/>
              </w:rPr>
              <w:t xml:space="preserve"> Atlas stent, followed by sequential Surpass Evolve flow diverters.</w:t>
            </w:r>
          </w:p>
        </w:tc>
        <w:tc>
          <w:tcPr>
            <w:tcW w:w="2033" w:type="dxa"/>
          </w:tcPr>
          <w:p w14:paraId="07569920" w14:textId="7D22D32B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- Successfully deployed sequential flow diverters.\n- Angiographic follow-up showed improved aneurysm occlusion.\n- Demonstrated feasibility of flow diversion in a previously stented aneurysm.</w:t>
            </w:r>
          </w:p>
        </w:tc>
        <w:tc>
          <w:tcPr>
            <w:tcW w:w="3276" w:type="dxa"/>
          </w:tcPr>
          <w:p w14:paraId="07569921" w14:textId="71C1DAA2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- Single-patient case study, limiting generalizability.\n- No long-term clinical outcome data.\n- Lack of comparative analysis with alternative treatments.</w:t>
            </w:r>
          </w:p>
        </w:tc>
      </w:tr>
      <w:tr w:rsidR="00FD5645" w14:paraId="07569929" w14:textId="77777777" w:rsidTr="7396C3A3">
        <w:tc>
          <w:tcPr>
            <w:tcW w:w="405" w:type="dxa"/>
          </w:tcPr>
          <w:p w14:paraId="650F2DE6" w14:textId="3A763DDF" w:rsidR="00FD5645" w:rsidRDefault="00FD5645" w:rsidP="00DC18AF">
            <w:r>
              <w:t>9</w:t>
            </w:r>
          </w:p>
        </w:tc>
        <w:tc>
          <w:tcPr>
            <w:tcW w:w="1404" w:type="dxa"/>
          </w:tcPr>
          <w:p w14:paraId="07569923" w14:textId="0EBC3378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Lei et al., 2023</w:t>
            </w:r>
          </w:p>
        </w:tc>
        <w:tc>
          <w:tcPr>
            <w:tcW w:w="2160" w:type="dxa"/>
          </w:tcPr>
          <w:p w14:paraId="07569924" w14:textId="37CD8FE0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Technical Advantages of a Novel Flow Diverter in Complex Flow Diversion: Patient Series</w:t>
            </w:r>
          </w:p>
        </w:tc>
        <w:tc>
          <w:tcPr>
            <w:tcW w:w="1696" w:type="dxa"/>
          </w:tcPr>
          <w:p w14:paraId="07569925" w14:textId="4C036696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 xml:space="preserve">To evaluate the benefits of the Surpass Streamline flow diverter (SSFD) in </w:t>
            </w:r>
            <w:r w:rsidRPr="000D08B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managing complex aneurysm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 xml:space="preserve"> cases.</w:t>
            </w:r>
          </w:p>
        </w:tc>
        <w:tc>
          <w:tcPr>
            <w:tcW w:w="3585" w:type="dxa"/>
          </w:tcPr>
          <w:p w14:paraId="07569926" w14:textId="77F9C60D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Retrospective case series analyzing 4 patients treated with SSFD for complex aneurysms, with follow-up imaging at 6 to 24 months.</w:t>
            </w:r>
          </w:p>
        </w:tc>
        <w:tc>
          <w:tcPr>
            <w:tcW w:w="2033" w:type="dxa"/>
          </w:tcPr>
          <w:p w14:paraId="07569927" w14:textId="43A1505B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 xml:space="preserve">- SSFD provided improved wall apposition and complete occlusion in challenging cases.\n- Unique properties (over-the-wire system, longer length, larger diameter) enhanced outcomes.\n- No major complications 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reported.</w:t>
            </w:r>
          </w:p>
        </w:tc>
        <w:tc>
          <w:tcPr>
            <w:tcW w:w="3276" w:type="dxa"/>
          </w:tcPr>
          <w:p w14:paraId="07569928" w14:textId="67203021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Small sample size (4 cases).\n- Retrospective design without control group.\n- Limited long-term outcome assessment.</w:t>
            </w:r>
          </w:p>
        </w:tc>
      </w:tr>
      <w:tr w:rsidR="00FD5645" w:rsidRPr="000D08B6" w14:paraId="01764408" w14:textId="77777777" w:rsidTr="7396C3A3">
        <w:tc>
          <w:tcPr>
            <w:tcW w:w="405" w:type="dxa"/>
          </w:tcPr>
          <w:p w14:paraId="6944FE2C" w14:textId="0C43E945" w:rsidR="00FD5645" w:rsidRPr="000D08B6" w:rsidRDefault="00FD5645" w:rsidP="00DC18AF">
            <w:pPr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</w:pPr>
            <w:r w:rsidRPr="000D08B6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1404" w:type="dxa"/>
          </w:tcPr>
          <w:p w14:paraId="4F078E09" w14:textId="330F33DA" w:rsidR="00FD5645" w:rsidRPr="000D08B6" w:rsidRDefault="00FD5645" w:rsidP="00DC18AF">
            <w:pPr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</w:pPr>
            <w:proofErr w:type="spellStart"/>
            <w:r w:rsidRPr="000D08B6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>Sgreccia</w:t>
            </w:r>
            <w:proofErr w:type="spellEnd"/>
            <w:r w:rsidRPr="000D08B6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 xml:space="preserve"> et al., 2019</w:t>
            </w:r>
          </w:p>
          <w:p w14:paraId="1E1FC261" w14:textId="77777777" w:rsidR="00FD5645" w:rsidRPr="000D08B6" w:rsidRDefault="00FD5645" w:rsidP="00DC18AF">
            <w:pPr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</w:pPr>
          </w:p>
          <w:p w14:paraId="59AAB349" w14:textId="77777777" w:rsidR="00FD5645" w:rsidRPr="000D08B6" w:rsidRDefault="00FD5645" w:rsidP="00DC18AF">
            <w:pPr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</w:pPr>
          </w:p>
          <w:p w14:paraId="23292471" w14:textId="7BA098AF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>(Herthika)</w:t>
            </w:r>
          </w:p>
        </w:tc>
        <w:tc>
          <w:tcPr>
            <w:tcW w:w="2160" w:type="dxa"/>
          </w:tcPr>
          <w:p w14:paraId="02456409" w14:textId="77777777" w:rsidR="00FD5645" w:rsidRPr="000D08B6" w:rsidRDefault="00FD5645" w:rsidP="00414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Rare and Symptomatic Cavernous Donut-Shaped Aneurysm Treated by Flow Diverter Deployment</w:t>
            </w:r>
          </w:p>
          <w:p w14:paraId="7C67D82B" w14:textId="77777777" w:rsidR="00FD5645" w:rsidRPr="000D08B6" w:rsidRDefault="00FD5645" w:rsidP="00414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</w:tcPr>
          <w:p w14:paraId="36DCDF09" w14:textId="5364F4AA" w:rsidR="00FD5645" w:rsidRPr="000D08B6" w:rsidRDefault="00352912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The article aims to describe a rare case of a cavernous donut-shaped aneurysm and its successful treatment using a flow-diverter (FD) stent. It also provides a literature review of similar cases to analyze different endovascular approaches.</w:t>
            </w:r>
          </w:p>
        </w:tc>
        <w:tc>
          <w:tcPr>
            <w:tcW w:w="3585" w:type="dxa"/>
          </w:tcPr>
          <w:p w14:paraId="26A5C084" w14:textId="0C75F035" w:rsidR="00BD753C" w:rsidRPr="000D08B6" w:rsidRDefault="00BD753C" w:rsidP="00BD7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case report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 xml:space="preserve">of a 62-year-old woman presenting with diplopia, left eyelid swelling, ptosis, and retroorbital pain due to a 25-mm left </w:t>
            </w:r>
            <w:proofErr w:type="spellStart"/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intracavernous</w:t>
            </w:r>
            <w:proofErr w:type="spellEnd"/>
            <w:r w:rsidRPr="000D08B6">
              <w:rPr>
                <w:rFonts w:ascii="Times New Roman" w:hAnsi="Times New Roman" w:cs="Times New Roman"/>
                <w:sz w:val="18"/>
                <w:szCs w:val="18"/>
              </w:rPr>
              <w:t xml:space="preserve"> aneurysm with a central thrombus.</w:t>
            </w:r>
          </w:p>
          <w:p w14:paraId="44C11B11" w14:textId="046D6EEE" w:rsidR="00BD753C" w:rsidRPr="000D08B6" w:rsidRDefault="00BD753C" w:rsidP="00BD7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Diagnostic imaging included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CT angiography and digital subtraction angiography (DSA)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to confirm the aneurysm and its morphology.</w:t>
            </w:r>
            <w:r w:rsidR="00C10A53" w:rsidRPr="000D08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The patient underwent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endovascular treatment using an FD stent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to occlude the aneurysm, reduce the mass effect, and maintain patency of the internal carotid artery.</w:t>
            </w:r>
          </w:p>
          <w:p w14:paraId="52652805" w14:textId="2CCEA442" w:rsidR="00FD5645" w:rsidRPr="000D08B6" w:rsidRDefault="00BD753C" w:rsidP="00BD75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Follow-ups at 6 and 12 months included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CT angiography and DSA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to assess aneurysm occlusion and arterial remodeling</w:t>
            </w:r>
          </w:p>
        </w:tc>
        <w:tc>
          <w:tcPr>
            <w:tcW w:w="2033" w:type="dxa"/>
          </w:tcPr>
          <w:p w14:paraId="0DBD3A29" w14:textId="79206908" w:rsidR="00FD5645" w:rsidRPr="000D08B6" w:rsidRDefault="00C10A53" w:rsidP="00C10A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Complete occlusion of the aneurysm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was achieved within 12 months post-treatment. The patient experienced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full recovery from oculomotor palsy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and related symptoms. The study also reviewed 9 previous cases of donut-shaped aneurysms, analyzing treatment approaches and outcomes.</w:t>
            </w:r>
          </w:p>
        </w:tc>
        <w:tc>
          <w:tcPr>
            <w:tcW w:w="3276" w:type="dxa"/>
          </w:tcPr>
          <w:p w14:paraId="425EFD2F" w14:textId="60387637" w:rsidR="00644629" w:rsidRPr="000D08B6" w:rsidRDefault="00644629" w:rsidP="006446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The study is a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single case report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, which limits the generalizability of findings.</w:t>
            </w:r>
          </w:p>
          <w:p w14:paraId="662395BB" w14:textId="3CC5DD43" w:rsidR="00644629" w:rsidRPr="000D08B6" w:rsidRDefault="00644629" w:rsidP="006446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There is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no long-term follow-up beyond 12 months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 xml:space="preserve">, leaving uncertainties about potential recurrence or delayed complications. 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Lack of a standardized treatment approach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due to the rarity of the condition, as different cases were managed based on individual physician expertise.</w:t>
            </w:r>
          </w:p>
          <w:p w14:paraId="2F6CF16A" w14:textId="178AFF5B" w:rsidR="00FD5645" w:rsidRPr="000D08B6" w:rsidRDefault="00644629" w:rsidP="006446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The study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does not compare different treatment modalities systematically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, making it difficult to conclude the superiority of FD stents over other interventions</w:t>
            </w:r>
          </w:p>
        </w:tc>
      </w:tr>
      <w:tr w:rsidR="00FD5645" w:rsidRPr="000D08B6" w14:paraId="0E64DD54" w14:textId="77777777" w:rsidTr="7396C3A3">
        <w:tc>
          <w:tcPr>
            <w:tcW w:w="405" w:type="dxa"/>
          </w:tcPr>
          <w:p w14:paraId="6CEF1DDB" w14:textId="79E8B271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04" w:type="dxa"/>
          </w:tcPr>
          <w:p w14:paraId="32BE7950" w14:textId="4B328A44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Liyong</w:t>
            </w:r>
            <w:proofErr w:type="spellEnd"/>
            <w:r w:rsidRPr="000D08B6">
              <w:rPr>
                <w:rFonts w:ascii="Times New Roman" w:hAnsi="Times New Roman" w:cs="Times New Roman"/>
                <w:sz w:val="18"/>
                <w:szCs w:val="18"/>
              </w:rPr>
              <w:t xml:space="preserve"> et al., 2022</w:t>
            </w:r>
          </w:p>
          <w:p w14:paraId="5E1DCE25" w14:textId="77777777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020B41" w14:textId="387A42ED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>(Herthika)</w:t>
            </w:r>
          </w:p>
        </w:tc>
        <w:tc>
          <w:tcPr>
            <w:tcW w:w="2160" w:type="dxa"/>
          </w:tcPr>
          <w:p w14:paraId="3FABB7C9" w14:textId="77777777" w:rsidR="00FD5645" w:rsidRPr="000D08B6" w:rsidRDefault="00FD5645" w:rsidP="00414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Multiple Telescoping Flow Diverter Technique in Endovascular Treatment of a Giant Petrous and Cavernous Carotid Aneurysm</w:t>
            </w:r>
          </w:p>
          <w:p w14:paraId="577687FD" w14:textId="77777777" w:rsidR="00FD5645" w:rsidRPr="000D08B6" w:rsidRDefault="00FD5645" w:rsidP="00414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</w:tcPr>
          <w:p w14:paraId="794BEAC5" w14:textId="4FFE8FE5" w:rsidR="00FD5645" w:rsidRPr="000D08B6" w:rsidRDefault="00DB01C7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The article aims to present a case study on the use of the</w:t>
            </w:r>
            <w:r w:rsidRPr="000D08B6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multiple telescoping flow diverter (FD) technique</w:t>
            </w:r>
            <w:r w:rsidRPr="000D08B6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0D0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 treating a</w:t>
            </w:r>
            <w:r w:rsidRPr="000D08B6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giant petrous and cavernous carotid aneurysm</w:t>
            </w:r>
            <w:r w:rsidRPr="000D0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The study also discusses the technical aspects and potential advantages of using the</w:t>
            </w:r>
            <w:r w:rsidRPr="000D08B6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Lattice flow diversion device (</w:t>
            </w:r>
            <w:proofErr w:type="spellStart"/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AccuMedical</w:t>
            </w:r>
            <w:proofErr w:type="spellEnd"/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, Beijing, China)</w:t>
            </w:r>
            <w:r w:rsidRPr="000D08B6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0D0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 treating complex, long-segment aneurysms.</w:t>
            </w:r>
          </w:p>
        </w:tc>
        <w:tc>
          <w:tcPr>
            <w:tcW w:w="3585" w:type="dxa"/>
          </w:tcPr>
          <w:p w14:paraId="28DECF10" w14:textId="70D378D8" w:rsidR="000F7C23" w:rsidRPr="000D08B6" w:rsidRDefault="000F7C23" w:rsidP="000F7C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Case Report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: A 24-year-old male presented with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headaches and left facial numbness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6BA5FA0" w14:textId="2706A5EB" w:rsidR="000F7C23" w:rsidRPr="000D08B6" w:rsidRDefault="000F7C23" w:rsidP="000F7C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Imaging and Diagnosis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: MRI and angiography revealed a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giant thrombosed dissecting carotid aneurysm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involving the petrous and cavernous segments of the internal carotid artery.</w:t>
            </w:r>
          </w:p>
          <w:p w14:paraId="36F32331" w14:textId="15EC4C50" w:rsidR="000F7C23" w:rsidRPr="000D08B6" w:rsidRDefault="000F7C23" w:rsidP="000F7C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Endovascular Treatment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: The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multiple telescoping FD technique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was employed to ensure full coverage of the aneurysm. A total of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five Lattice flow diverters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were deployed in a telescopic manner to reconstruct the artery.</w:t>
            </w:r>
          </w:p>
          <w:p w14:paraId="707A7D0D" w14:textId="55525863" w:rsidR="00FD5645" w:rsidRPr="000D08B6" w:rsidRDefault="000F7C23" w:rsidP="000F7C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Follow-up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: The patient was monitored for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six months post-procedure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using angiography.</w:t>
            </w:r>
          </w:p>
        </w:tc>
        <w:tc>
          <w:tcPr>
            <w:tcW w:w="2033" w:type="dxa"/>
          </w:tcPr>
          <w:p w14:paraId="225503E8" w14:textId="56FBC2E4" w:rsidR="0063472A" w:rsidRPr="000D08B6" w:rsidRDefault="0063472A" w:rsidP="006347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procedure was successfully completed without complications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. The patient’s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neurological symptoms completely resolved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within three months.</w:t>
            </w:r>
          </w:p>
          <w:p w14:paraId="32839859" w14:textId="65CCFCA9" w:rsidR="0063472A" w:rsidRPr="000D08B6" w:rsidRDefault="0063472A" w:rsidP="006347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At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six months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, follow-up angiography showed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complete remodeling of the internal carotid artery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with no evidence of aneurysm opacification.</w:t>
            </w:r>
          </w:p>
          <w:p w14:paraId="261C54BC" w14:textId="6D986A9C" w:rsidR="00FD5645" w:rsidRPr="000D08B6" w:rsidRDefault="0063472A" w:rsidP="006347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The study highlights the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effectiveness of the multiple telescoping FD technique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in treating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long-segment, giant aneurysms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, ensuring optimal flow diversion and aneurysm exclusion.</w:t>
            </w:r>
          </w:p>
        </w:tc>
        <w:tc>
          <w:tcPr>
            <w:tcW w:w="3276" w:type="dxa"/>
          </w:tcPr>
          <w:p w14:paraId="27ED6A58" w14:textId="5F48225A" w:rsidR="00DF7456" w:rsidRPr="000D08B6" w:rsidRDefault="00DF7456" w:rsidP="00DF74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Single case study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: Findings may not be generalizable to a larger patient population.</w:t>
            </w:r>
          </w:p>
          <w:p w14:paraId="5A156BD0" w14:textId="4AC86D5D" w:rsidR="00DF7456" w:rsidRPr="000D08B6" w:rsidRDefault="00DF7456" w:rsidP="00DF74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Limited follow-up duration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: Long-term durability of the treatment remains uncertain.</w:t>
            </w:r>
          </w:p>
          <w:p w14:paraId="02D5ED19" w14:textId="0FE2AB2F" w:rsidR="00DF7456" w:rsidRPr="000D08B6" w:rsidRDefault="00DF7456" w:rsidP="00DF74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Technical complexity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: The use of multiple telescoping flow diverters requires expertise and may not be feasible in all clinical settings.</w:t>
            </w:r>
          </w:p>
          <w:p w14:paraId="27EB7143" w14:textId="77DE209C" w:rsidR="00FD5645" w:rsidRPr="000D08B6" w:rsidRDefault="00DF7456" w:rsidP="00DF74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Lack of comparative analysis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: The study does not compare this technique with other treatment options, such as single FD deployment or alternative endovascular approaches.</w:t>
            </w:r>
          </w:p>
        </w:tc>
      </w:tr>
      <w:tr w:rsidR="00FD5645" w:rsidRPr="000D08B6" w14:paraId="5A660DEE" w14:textId="77777777" w:rsidTr="7396C3A3">
        <w:tc>
          <w:tcPr>
            <w:tcW w:w="405" w:type="dxa"/>
          </w:tcPr>
          <w:p w14:paraId="163EB4DC" w14:textId="341E8BEF" w:rsidR="00FD5645" w:rsidRPr="000D08B6" w:rsidRDefault="00FD5645" w:rsidP="00DC18AF">
            <w:pPr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</w:pPr>
            <w:r w:rsidRPr="000D08B6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1404" w:type="dxa"/>
          </w:tcPr>
          <w:p w14:paraId="7CA56FF7" w14:textId="05C94A94" w:rsidR="00FD5645" w:rsidRPr="000D08B6" w:rsidRDefault="00FD5645" w:rsidP="00DC18AF">
            <w:pPr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</w:pPr>
            <w:proofErr w:type="spellStart"/>
            <w:r w:rsidRPr="000D08B6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>Kumaria</w:t>
            </w:r>
            <w:proofErr w:type="spellEnd"/>
            <w:r w:rsidRPr="000D08B6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 xml:space="preserve"> et al., 2021</w:t>
            </w:r>
          </w:p>
          <w:p w14:paraId="3906F332" w14:textId="77777777" w:rsidR="00FD5645" w:rsidRPr="000D08B6" w:rsidRDefault="00FD5645" w:rsidP="00DC18AF">
            <w:pPr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</w:pPr>
          </w:p>
          <w:p w14:paraId="722463BD" w14:textId="5AAC9137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>(Herthika)</w:t>
            </w:r>
          </w:p>
        </w:tc>
        <w:tc>
          <w:tcPr>
            <w:tcW w:w="2160" w:type="dxa"/>
          </w:tcPr>
          <w:p w14:paraId="381E1FA4" w14:textId="77777777" w:rsidR="00FD5645" w:rsidRPr="000D08B6" w:rsidRDefault="00FD5645" w:rsidP="00414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Successful treatment of giant cavernous carotid artery aneurysm in a child using a flow diverter stent</w:t>
            </w:r>
          </w:p>
          <w:p w14:paraId="79135014" w14:textId="62E96D95" w:rsidR="00FD5645" w:rsidRPr="000D08B6" w:rsidRDefault="00FD5645" w:rsidP="00414E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</w:tcPr>
          <w:p w14:paraId="74F40A38" w14:textId="366638AE" w:rsidR="00FD5645" w:rsidRPr="000D08B6" w:rsidRDefault="00AD17DD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The article aims to present a rare case of a</w:t>
            </w:r>
            <w:r w:rsidRPr="000D08B6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 xml:space="preserve">giant cavernous carotid artery aneurysm in a 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lastRenderedPageBreak/>
              <w:t>pediatric patient</w:t>
            </w:r>
            <w:r w:rsidRPr="000D08B6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0D0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and its successful treatment using a</w:t>
            </w:r>
            <w:r w:rsidRPr="000D08B6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flow diverter (FD) stent</w:t>
            </w:r>
            <w:r w:rsidRPr="000D0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It highlights the</w:t>
            </w:r>
            <w:r w:rsidRPr="000D08B6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angiographic characteristics, treatment approach, and clinical outcomes</w:t>
            </w:r>
            <w:r w:rsidRPr="000D0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discussing the challenges of using FDs in children.</w:t>
            </w:r>
          </w:p>
        </w:tc>
        <w:tc>
          <w:tcPr>
            <w:tcW w:w="3585" w:type="dxa"/>
          </w:tcPr>
          <w:p w14:paraId="7A9DF6EB" w14:textId="1D5BF573" w:rsidR="006E37B9" w:rsidRPr="000D08B6" w:rsidRDefault="006E37B9" w:rsidP="006E3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Case Report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: An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8-year-old boy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presented with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double vision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(diplopia) two weeks after receiving intravenous antibiotics for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septic arthritis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. He had previously had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proofErr w:type="gramStart"/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chickenpox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, but</w:t>
            </w:r>
            <w:proofErr w:type="gramEnd"/>
            <w:r w:rsidRPr="000D08B6">
              <w:rPr>
                <w:rFonts w:ascii="Times New Roman" w:hAnsi="Times New Roman" w:cs="Times New Roman"/>
                <w:sz w:val="18"/>
                <w:szCs w:val="18"/>
              </w:rPr>
              <w:t xml:space="preserve"> had otherwise been healthy.</w:t>
            </w:r>
          </w:p>
          <w:p w14:paraId="191680F9" w14:textId="181C296C" w:rsidR="006E37B9" w:rsidRPr="000D08B6" w:rsidRDefault="006E37B9" w:rsidP="006E3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Initial Imaging &amp; Diagnosis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: MRI and CT angiography revealed a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19mm serpiginous aneurysm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in the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left cavernous internal carotid artery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, with a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narrow neck (4.5mm)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pressure erosion on the sphenoid bone and posterior clinoid process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F5E7DA4" w14:textId="46EDA9A9" w:rsidR="006E37B9" w:rsidRPr="000D08B6" w:rsidRDefault="006E37B9" w:rsidP="006E3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Conservative Management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: The aneurysm was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initially monitored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since the symptoms resolved spontaneously.</w:t>
            </w:r>
          </w:p>
          <w:p w14:paraId="3706C45C" w14:textId="33310964" w:rsidR="006E37B9" w:rsidRPr="000D08B6" w:rsidRDefault="006E37B9" w:rsidP="006E3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Progression &amp; Treatment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: By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age 12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, the aneurysm had grown to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26 × 21 × 22 mm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, prompting intervention.</w:t>
            </w:r>
          </w:p>
          <w:p w14:paraId="37EF78FD" w14:textId="77777777" w:rsidR="006E37B9" w:rsidRPr="000D08B6" w:rsidRDefault="006E37B9" w:rsidP="006E37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A3A921" w14:textId="529F8EF7" w:rsidR="006E37B9" w:rsidRPr="000D08B6" w:rsidRDefault="006E37B9" w:rsidP="006E3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Endovascular Procedure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: The patient was premedicated with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aspirin and clopidogrel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Cerebral angiography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confirmed aneurysm enlargement. A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Pipeline Flex (5 × 18 mm) flow diverter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was deployed across the aneurysm neck.</w:t>
            </w:r>
          </w:p>
          <w:p w14:paraId="139C0D9D" w14:textId="77777777" w:rsidR="006E37B9" w:rsidRPr="000D08B6" w:rsidRDefault="006E37B9" w:rsidP="006E37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Post-procedure monitoring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: Antiplatelet therapy continued for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six months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, and aspirin was continued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long-term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3B21059" w14:textId="13A1FC97" w:rsidR="006E37B9" w:rsidRPr="000D08B6" w:rsidRDefault="006E37B9" w:rsidP="006E3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Follow-up &amp; Outcome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: At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age 15 (three years post-treatment)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, the patient was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clinically well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. MR angiography showed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complete thrombosis and shrinkage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of the aneurysm. The patient was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discharged from further follow-ups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1390965" w14:textId="77777777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3" w:type="dxa"/>
          </w:tcPr>
          <w:p w14:paraId="13F4D45C" w14:textId="10CE084A" w:rsidR="00691779" w:rsidRPr="000D08B6" w:rsidRDefault="00691779" w:rsidP="00691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Successful treatment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of a rare pediatric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giant cavernous carotid aneurysm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using an FD stent.</w:t>
            </w:r>
          </w:p>
          <w:p w14:paraId="32837FA0" w14:textId="13561B71" w:rsidR="00691779" w:rsidRPr="000D08B6" w:rsidRDefault="00691779" w:rsidP="00691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Complete occlusion and shrinkage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of the aneurysm without complications.</w:t>
            </w:r>
          </w:p>
          <w:p w14:paraId="79C3EB6C" w14:textId="1C97B06E" w:rsidR="00691779" w:rsidRPr="000D08B6" w:rsidRDefault="00691779" w:rsidP="00691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Long-term resolution of symptoms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and no neurological deficits three years after treatment.</w:t>
            </w:r>
          </w:p>
          <w:p w14:paraId="142A35B2" w14:textId="06A355A6" w:rsidR="00FD5645" w:rsidRPr="000D08B6" w:rsidRDefault="00691779" w:rsidP="00691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The case highlights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FD stenting as a viable alternative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cerebral revascularization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in children.</w:t>
            </w:r>
          </w:p>
        </w:tc>
        <w:tc>
          <w:tcPr>
            <w:tcW w:w="3276" w:type="dxa"/>
          </w:tcPr>
          <w:p w14:paraId="3725FF29" w14:textId="0E11E01A" w:rsidR="00691779" w:rsidRPr="000D08B6" w:rsidRDefault="00691779" w:rsidP="00691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Single case study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: The findings may not be generalizable to all pediatric patients.</w:t>
            </w:r>
          </w:p>
          <w:p w14:paraId="47BA9DD6" w14:textId="19FD9D68" w:rsidR="00691779" w:rsidRPr="000D08B6" w:rsidRDefault="00691779" w:rsidP="00691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Unclear long-term durability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: While the patient remained well for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three years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long-term follow-up beyond 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adolescence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is missing.</w:t>
            </w:r>
          </w:p>
          <w:p w14:paraId="5D4601B1" w14:textId="61A43625" w:rsidR="00691779" w:rsidRPr="000D08B6" w:rsidRDefault="00691779" w:rsidP="00691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Etiology uncertainty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: The aneurysm might have been caused by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post-septic arthritis or varicella vasculitis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, but this remains speculative.</w:t>
            </w:r>
          </w:p>
          <w:p w14:paraId="325AA483" w14:textId="2678DCFA" w:rsidR="00FD5645" w:rsidRPr="000D08B6" w:rsidRDefault="00691779" w:rsidP="00691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Limited experience with FDs in children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: Given the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rarity of pediatric intracranial aneurysms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, standardized treatment protocols are lacking.</w:t>
            </w:r>
          </w:p>
        </w:tc>
      </w:tr>
      <w:tr w:rsidR="00FD5645" w:rsidRPr="000D08B6" w14:paraId="281C3F13" w14:textId="77777777" w:rsidTr="7396C3A3">
        <w:tc>
          <w:tcPr>
            <w:tcW w:w="405" w:type="dxa"/>
          </w:tcPr>
          <w:p w14:paraId="6840FF56" w14:textId="04FEC063" w:rsidR="00FD5645" w:rsidRPr="000D08B6" w:rsidRDefault="00FD5645" w:rsidP="00DC18AF">
            <w:pPr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</w:pPr>
            <w:r w:rsidRPr="000D08B6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lastRenderedPageBreak/>
              <w:t>13</w:t>
            </w:r>
          </w:p>
        </w:tc>
        <w:tc>
          <w:tcPr>
            <w:tcW w:w="1404" w:type="dxa"/>
          </w:tcPr>
          <w:p w14:paraId="50679D74" w14:textId="28CD54F5" w:rsidR="00FD5645" w:rsidRPr="000D08B6" w:rsidRDefault="00FD5645" w:rsidP="00DC18AF">
            <w:pPr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</w:pPr>
            <w:proofErr w:type="spellStart"/>
            <w:r w:rsidRPr="000D08B6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>Vásconez</w:t>
            </w:r>
            <w:proofErr w:type="spellEnd"/>
            <w:r w:rsidRPr="000D08B6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 xml:space="preserve"> Muñoz et al., 2024</w:t>
            </w:r>
          </w:p>
          <w:p w14:paraId="38973BCD" w14:textId="77777777" w:rsidR="00FD5645" w:rsidRPr="000D08B6" w:rsidRDefault="00FD5645" w:rsidP="00DC18AF">
            <w:pPr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</w:pPr>
          </w:p>
          <w:p w14:paraId="29222ABB" w14:textId="31D3C265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>(Herthika)</w:t>
            </w:r>
          </w:p>
        </w:tc>
        <w:tc>
          <w:tcPr>
            <w:tcW w:w="2160" w:type="dxa"/>
          </w:tcPr>
          <w:p w14:paraId="2746E93C" w14:textId="77777777" w:rsidR="00FD5645" w:rsidRPr="000D08B6" w:rsidRDefault="00FD5645" w:rsidP="009C6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Endovascular treatment of high-flow carotid-cavernous fistula secondary to rupture of a carotid-cavernous aneurysm post-flow diverter stent placement</w:t>
            </w:r>
          </w:p>
          <w:p w14:paraId="666E6242" w14:textId="77777777" w:rsidR="00FD5645" w:rsidRPr="000D08B6" w:rsidRDefault="00FD5645" w:rsidP="009C6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CE0EBE" w14:textId="77777777" w:rsidR="00FD5645" w:rsidRPr="000D08B6" w:rsidRDefault="00FD5645" w:rsidP="009C6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</w:tcPr>
          <w:p w14:paraId="62185B73" w14:textId="77777777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5" w:type="dxa"/>
          </w:tcPr>
          <w:p w14:paraId="5B792F1B" w14:textId="77777777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3" w:type="dxa"/>
          </w:tcPr>
          <w:p w14:paraId="531100F7" w14:textId="77777777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6" w:type="dxa"/>
          </w:tcPr>
          <w:p w14:paraId="4E5EDB9F" w14:textId="77777777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5645" w:rsidRPr="000D08B6" w14:paraId="7A246F7D" w14:textId="77777777" w:rsidTr="7396C3A3">
        <w:tc>
          <w:tcPr>
            <w:tcW w:w="405" w:type="dxa"/>
          </w:tcPr>
          <w:p w14:paraId="4587C824" w14:textId="48001F54" w:rsidR="00FD5645" w:rsidRPr="000D08B6" w:rsidRDefault="00FD5645" w:rsidP="00DC18AF">
            <w:pPr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</w:pPr>
            <w:r w:rsidRPr="000D08B6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1404" w:type="dxa"/>
          </w:tcPr>
          <w:p w14:paraId="0616348C" w14:textId="533579A0" w:rsidR="00FD5645" w:rsidRPr="000D08B6" w:rsidRDefault="00FD5645" w:rsidP="00DC18AF">
            <w:pPr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</w:pPr>
            <w:r w:rsidRPr="000D08B6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>Sila et al., 2021</w:t>
            </w:r>
          </w:p>
          <w:p w14:paraId="6F305113" w14:textId="77777777" w:rsidR="00FD5645" w:rsidRPr="000D08B6" w:rsidRDefault="00FD5645" w:rsidP="00DC18AF">
            <w:pPr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</w:pPr>
          </w:p>
          <w:p w14:paraId="318AA771" w14:textId="2BA332B3" w:rsidR="00FD5645" w:rsidRPr="000D08B6" w:rsidRDefault="00FD5645" w:rsidP="00DC18AF">
            <w:pPr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</w:pPr>
            <w:r w:rsidRPr="000D08B6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>(Herthika)</w:t>
            </w:r>
          </w:p>
        </w:tc>
        <w:tc>
          <w:tcPr>
            <w:tcW w:w="2160" w:type="dxa"/>
          </w:tcPr>
          <w:p w14:paraId="08A02DEC" w14:textId="77777777" w:rsidR="00FD5645" w:rsidRPr="000D08B6" w:rsidRDefault="00FD5645" w:rsidP="009C6945">
            <w:pPr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 xml:space="preserve">Giant internal carotid aneurysm: endovascular parent artery occlusion after failed treatment using a flow diverter-case </w:t>
            </w:r>
            <w:r w:rsidRPr="000D08B6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lastRenderedPageBreak/>
              <w:t>report</w:t>
            </w:r>
          </w:p>
          <w:p w14:paraId="2F46685A" w14:textId="77777777" w:rsidR="00FD5645" w:rsidRPr="000D08B6" w:rsidRDefault="00FD5645" w:rsidP="009C6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</w:tcPr>
          <w:p w14:paraId="3B1E176B" w14:textId="5D5E7D38" w:rsidR="00FD5645" w:rsidRPr="000D08B6" w:rsidRDefault="00820A23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The article aims to present a case of a</w:t>
            </w:r>
            <w:r w:rsidRPr="000D08B6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giant internal carotid artery (ICA) aneurysm</w:t>
            </w:r>
            <w:r w:rsidRPr="000D08B6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0D0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that </w:t>
            </w:r>
            <w:r w:rsidRPr="000D0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was</w:t>
            </w:r>
            <w:r w:rsidRPr="000D08B6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initially treated with a flow diverter (FD) stent but failed</w:t>
            </w:r>
            <w:r w:rsidRPr="000D0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leading to</w:t>
            </w:r>
            <w:r w:rsidRPr="000D08B6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successful treatment with parent artery occlusion (PAO)</w:t>
            </w:r>
            <w:r w:rsidRPr="000D0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The study highlights the</w:t>
            </w:r>
            <w:r w:rsidRPr="000D08B6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challenges of treating giant aneurysms</w:t>
            </w:r>
            <w:r w:rsidRPr="000D0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the</w:t>
            </w:r>
            <w:r w:rsidRPr="000D08B6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limitations of flow diverters</w:t>
            </w:r>
            <w:r w:rsidRPr="000D0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and the role of</w:t>
            </w:r>
            <w:r w:rsidRPr="000D08B6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balloon occlusion testing (BOT) with induced hypotension</w:t>
            </w:r>
            <w:r w:rsidRPr="000D08B6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0D0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before PAO.</w:t>
            </w:r>
          </w:p>
        </w:tc>
        <w:tc>
          <w:tcPr>
            <w:tcW w:w="3585" w:type="dxa"/>
          </w:tcPr>
          <w:p w14:paraId="4A556243" w14:textId="340B1C30" w:rsidR="00D932A2" w:rsidRPr="000D08B6" w:rsidRDefault="00D932A2" w:rsidP="00D93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Case Report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: A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56-year-old woman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presented with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right-sided ptosis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due to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external oculomotor palsy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A97D052" w14:textId="0DC7D018" w:rsidR="00D932A2" w:rsidRPr="000D08B6" w:rsidRDefault="00D932A2" w:rsidP="00D93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Imaging &amp; Diagnosis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: MRI and CT angiography revealed a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30 mm cavernous ICA 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aneurysm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. Digital subtraction angiography (DSA) confirmed a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wide-necked giant aneurysm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significant contact to the parent vessel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2B77EE2" w14:textId="3BD3C20C" w:rsidR="00D932A2" w:rsidRPr="000D08B6" w:rsidRDefault="00D932A2" w:rsidP="00D93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Initial Treatment (Failed)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: A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Pipeline flow diverter stent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was deployed but failed to unfold correctly due to vessel curvature. Multiple attempts to reposition the stent were unsuccessful, leading to termination of the procedure.</w:t>
            </w:r>
          </w:p>
          <w:p w14:paraId="388EFB82" w14:textId="77777777" w:rsidR="00D932A2" w:rsidRPr="000D08B6" w:rsidRDefault="00D932A2" w:rsidP="00D93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Alternative Treatment – Parent Artery Occlusion (PAO)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: A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balloon occlusion test (BOT)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was conducted with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transcranial Doppler (TCD) monitoring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. The test showed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adequate collateral circulation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, but there was a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systolic flow drop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in the middle cerebral artery (MCA). A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hypotensive challenge during BOT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was performed to further assess collateral circulation.</w:t>
            </w:r>
          </w:p>
          <w:p w14:paraId="4AA7EB14" w14:textId="0C447025" w:rsidR="00D932A2" w:rsidRPr="000D08B6" w:rsidRDefault="00D932A2" w:rsidP="00D93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Coiling of the aneurysm and PAO were then performed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06036D0" w14:textId="78773929" w:rsidR="00D932A2" w:rsidRPr="000D08B6" w:rsidRDefault="00D932A2" w:rsidP="00D93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Post-Treatment Monitoring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: The patient was placed on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dual antiplatelet therapy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(aspirin + clopidogrel) for 6 weeks, followed by lifelong aspirin. A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CT scan on Day 1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post-procedure showed no infarction. A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perfusion CT scan on Day 9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confirmed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normal blood flow to the right hemisphere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. The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oculomotor palsy resolved within 3 months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C752BBB" w14:textId="77777777" w:rsidR="00FD5645" w:rsidRPr="000D08B6" w:rsidRDefault="00FD5645" w:rsidP="00DC18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3" w:type="dxa"/>
          </w:tcPr>
          <w:p w14:paraId="1AC17403" w14:textId="415B5AD8" w:rsidR="00CB7B60" w:rsidRPr="000D08B6" w:rsidRDefault="00CB7B60" w:rsidP="00CB7B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Failure of flow diverter stenting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in treating the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giant cavernous ICA aneurysm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A8C4639" w14:textId="2EFE65DF" w:rsidR="00CB7B60" w:rsidRPr="000D08B6" w:rsidRDefault="00CB7B60" w:rsidP="00CB7B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Successful treatment 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with PAO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, supported by thorough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BOT and hypotensive challenge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26EB5D9" w14:textId="56202FE6" w:rsidR="00CB7B60" w:rsidRPr="000D08B6" w:rsidRDefault="00CB7B60" w:rsidP="00CB7B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No neurological complications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after PAO.</w:t>
            </w:r>
          </w:p>
          <w:p w14:paraId="061B5FD5" w14:textId="436B06BB" w:rsidR="00FD5645" w:rsidRPr="000D08B6" w:rsidRDefault="00CB7B60" w:rsidP="00CB7B60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Complete aneurysm occlusion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 xml:space="preserve">with no signs of infarction or ischemia. 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Resolution of oculomotor palsy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over time</w:t>
            </w:r>
          </w:p>
        </w:tc>
        <w:tc>
          <w:tcPr>
            <w:tcW w:w="3276" w:type="dxa"/>
          </w:tcPr>
          <w:p w14:paraId="4D5E5C3E" w14:textId="34A56D9D" w:rsidR="000D08B6" w:rsidRPr="000D08B6" w:rsidRDefault="000D08B6" w:rsidP="000D08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Single case study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: The findings may not be generalizable to other patients.</w:t>
            </w:r>
          </w:p>
          <w:p w14:paraId="38059B3A" w14:textId="5F259C9B" w:rsidR="000D08B6" w:rsidRPr="000D08B6" w:rsidRDefault="000D08B6" w:rsidP="000D08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Uncertainty in long-term outcomes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: While short-term results were good, the study does not discuss the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long-term durability 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of PAO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A20DEB4" w14:textId="32CA9DF6" w:rsidR="000D08B6" w:rsidRPr="000D08B6" w:rsidRDefault="000D08B6" w:rsidP="000D08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Risk of PAO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: While effective, PAO carries risks of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delayed ischemia or complications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in patients with inadequate collateral circulation.</w:t>
            </w:r>
          </w:p>
          <w:p w14:paraId="63381903" w14:textId="26A234AD" w:rsidR="00FD5645" w:rsidRPr="000D08B6" w:rsidRDefault="000D08B6" w:rsidP="000D08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Hypotensive challenge limitations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: The study supports using</w:t>
            </w:r>
            <w:r w:rsidRPr="000D08B6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0D08B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induced hypotension during BOT</w:t>
            </w:r>
            <w:r w:rsidRPr="000D08B6">
              <w:rPr>
                <w:rFonts w:ascii="Times New Roman" w:hAnsi="Times New Roman" w:cs="Times New Roman"/>
                <w:sz w:val="18"/>
                <w:szCs w:val="18"/>
              </w:rPr>
              <w:t>, but this technique is not universally accepted or standardized.</w:t>
            </w:r>
          </w:p>
        </w:tc>
      </w:tr>
      <w:tr w:rsidR="0E53A0FC" w14:paraId="04999F7B" w14:textId="77777777" w:rsidTr="7396C3A3">
        <w:trPr>
          <w:trHeight w:val="300"/>
        </w:trPr>
        <w:tc>
          <w:tcPr>
            <w:tcW w:w="405" w:type="dxa"/>
          </w:tcPr>
          <w:p w14:paraId="44DB957A" w14:textId="77D03F1E" w:rsidR="7BD03A4F" w:rsidRDefault="7BD03A4F" w:rsidP="0E53A0FC">
            <w:pPr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E53A0FC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lastRenderedPageBreak/>
              <w:t>16</w:t>
            </w:r>
          </w:p>
        </w:tc>
        <w:tc>
          <w:tcPr>
            <w:tcW w:w="1404" w:type="dxa"/>
          </w:tcPr>
          <w:p w14:paraId="172EF7ED" w14:textId="16160D04" w:rsidR="7BD03A4F" w:rsidRDefault="5CB7FE0B" w:rsidP="3103C9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3103C9F0">
              <w:rPr>
                <w:rFonts w:ascii="Times New Roman" w:hAnsi="Times New Roman" w:cs="Times New Roman"/>
                <w:sz w:val="18"/>
                <w:szCs w:val="18"/>
              </w:rPr>
              <w:t>Fehrenback</w:t>
            </w:r>
            <w:proofErr w:type="spellEnd"/>
            <w:r w:rsidRPr="3103C9F0">
              <w:rPr>
                <w:rFonts w:ascii="Times New Roman" w:hAnsi="Times New Roman" w:cs="Times New Roman"/>
                <w:sz w:val="18"/>
                <w:szCs w:val="18"/>
              </w:rPr>
              <w:t xml:space="preserve"> et al., 2022</w:t>
            </w:r>
          </w:p>
          <w:p w14:paraId="31258D24" w14:textId="7F0F8C52" w:rsidR="7BD03A4F" w:rsidRDefault="7BD03A4F" w:rsidP="52D98186">
            <w:pPr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</w:p>
        </w:tc>
        <w:tc>
          <w:tcPr>
            <w:tcW w:w="2160" w:type="dxa"/>
          </w:tcPr>
          <w:p w14:paraId="2D57B250" w14:textId="217B5A35" w:rsidR="7BD03A4F" w:rsidRDefault="7BD03A4F" w:rsidP="0E53A0FC">
            <w:pPr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E53A0FC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Management of Cavernous Carotid Artery Aneurysms: A Retrospective Single-Center Experience</w:t>
            </w:r>
          </w:p>
        </w:tc>
        <w:tc>
          <w:tcPr>
            <w:tcW w:w="1696" w:type="dxa"/>
          </w:tcPr>
          <w:p w14:paraId="52E558AF" w14:textId="744E9694" w:rsidR="0E53A0FC" w:rsidRDefault="50219E12" w:rsidP="0E53A0F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3103C9F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Marked lack of evidence based clinical guidelines for CCA as new treatment options are developed.</w:t>
            </w:r>
          </w:p>
        </w:tc>
        <w:tc>
          <w:tcPr>
            <w:tcW w:w="3585" w:type="dxa"/>
          </w:tcPr>
          <w:p w14:paraId="26D4BA61" w14:textId="7DB1E9F7" w:rsidR="0E53A0FC" w:rsidRDefault="6594235E" w:rsidP="0E53A0FC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This study was based off retrospective data from the University Hospital in Leipzig Germany from Jan 1</w:t>
            </w:r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  <w:vertAlign w:val="superscript"/>
              </w:rPr>
              <w:t>st</w:t>
            </w:r>
            <w:proofErr w:type="gramStart"/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2014</w:t>
            </w:r>
            <w:proofErr w:type="gramEnd"/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to November 1</w:t>
            </w:r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  <w:vertAlign w:val="superscript"/>
              </w:rPr>
              <w:t>st</w:t>
            </w:r>
            <w:proofErr w:type="gramStart"/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2020</w:t>
            </w:r>
            <w:proofErr w:type="gramEnd"/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. </w:t>
            </w:r>
            <w:r w:rsidR="602A11F3"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Identified 64 patients</w:t>
            </w:r>
            <w:r w:rsidR="2B2E207D"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with CCA and reported on their respective therapeutic strategies</w:t>
            </w:r>
            <w:r w:rsidR="31F6E99E"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and follow up.</w:t>
            </w:r>
            <w:r w:rsidR="2BF8880F"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Patients were also analyzed based on recorded comorbidities (elevated blood pressure, diabetes mellitus, and nicotine consumption), PHASES score, aneurysm site, size and shape, therapeutic strategy, neurological deficits, and clinical follow-up</w:t>
            </w:r>
            <w:r w:rsidR="6C95B1D9"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2033" w:type="dxa"/>
          </w:tcPr>
          <w:p w14:paraId="205AFE45" w14:textId="2E4C2845" w:rsidR="0E53A0FC" w:rsidRDefault="6C95B1D9" w:rsidP="52D9818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53yrs mean age (86% female)</w:t>
            </w:r>
          </w:p>
          <w:p w14:paraId="157BD234" w14:textId="496DCBED" w:rsidR="0E53A0FC" w:rsidRDefault="0E53A0FC" w:rsidP="52D9818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711D5DA8" w14:textId="4EB3D127" w:rsidR="0E53A0FC" w:rsidRDefault="6C95B1D9" w:rsidP="52D9818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3.8 yr mean follow up time</w:t>
            </w:r>
          </w:p>
          <w:p w14:paraId="7F55DC2A" w14:textId="2FAFE984" w:rsidR="0E53A0FC" w:rsidRDefault="0E53A0FC" w:rsidP="52D9818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14D36318" w14:textId="7DADAAB7" w:rsidR="0E53A0FC" w:rsidRDefault="6C95B1D9" w:rsidP="52D9818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22 pts found to have cranial nerve deficit, 50% showing a relief </w:t>
            </w:r>
            <w:r w:rsidR="6DA2E5D4"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regardless</w:t>
            </w:r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of therapy</w:t>
            </w:r>
          </w:p>
          <w:p w14:paraId="19961CF8" w14:textId="749FA314" w:rsidR="0E53A0FC" w:rsidRDefault="0E53A0FC" w:rsidP="52D9818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5D2538A6" w14:textId="60509C75" w:rsidR="0E53A0FC" w:rsidRDefault="4B566862" w:rsidP="52D9818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98% remained un ruptured</w:t>
            </w:r>
          </w:p>
          <w:p w14:paraId="1CD2482B" w14:textId="55DFAB0E" w:rsidR="0E53A0FC" w:rsidRDefault="0E53A0FC" w:rsidP="52D9818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09AA0AC0" w14:textId="6BEEC933" w:rsidR="0E53A0FC" w:rsidRDefault="4B566862" w:rsidP="52D9818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Larger PHASES score in symptomatic pts (mass </w:t>
            </w:r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effect)</w:t>
            </w:r>
          </w:p>
          <w:p w14:paraId="7050D0F6" w14:textId="3E4BA8FF" w:rsidR="0E53A0FC" w:rsidRDefault="0E53A0FC" w:rsidP="52D9818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75B79524" w14:textId="57E21A41" w:rsidR="0E53A0FC" w:rsidRDefault="0E53A0FC" w:rsidP="52D9818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57EAD35B" w14:textId="5710EAB8" w:rsidR="0E53A0FC" w:rsidRDefault="0E53A0FC" w:rsidP="52D9818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49CE13B2" w14:textId="49789678" w:rsidR="0E53A0FC" w:rsidRDefault="0E53A0FC" w:rsidP="52D9818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62B6F9A8" w14:textId="4294EE0C" w:rsidR="0E53A0FC" w:rsidRDefault="0E53A0FC" w:rsidP="52D9818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1451938E" w14:textId="25F9F6D0" w:rsidR="0E53A0FC" w:rsidRDefault="0E53A0FC" w:rsidP="52D9818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76" w:type="dxa"/>
          </w:tcPr>
          <w:p w14:paraId="0F6631E5" w14:textId="337B433D" w:rsidR="0E53A0FC" w:rsidRDefault="78A2736A" w:rsidP="7396C3A3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7396C3A3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Insufficient follow-up period (mean 3.8 years) to assess long-term outcomes</w:t>
            </w:r>
          </w:p>
          <w:p w14:paraId="1439AD81" w14:textId="5BD04F19" w:rsidR="0E53A0FC" w:rsidRDefault="78A2736A" w:rsidP="7396C3A3">
            <w:r w:rsidRPr="7396C3A3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Single-center experience limiting generalizability</w:t>
            </w:r>
          </w:p>
          <w:p w14:paraId="545BA353" w14:textId="17697F72" w:rsidR="0E53A0FC" w:rsidRDefault="78A2736A" w:rsidP="7396C3A3">
            <w:r w:rsidRPr="7396C3A3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Retrospective design introducing potential selection bias</w:t>
            </w:r>
          </w:p>
          <w:p w14:paraId="06158436" w14:textId="32892BCA" w:rsidR="0E53A0FC" w:rsidRDefault="78A2736A" w:rsidP="7396C3A3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7396C3A3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Small sample size (64 patients) limiting statistical power</w:t>
            </w:r>
          </w:p>
          <w:p w14:paraId="4FB07AB1" w14:textId="7274F62C" w:rsidR="0E53A0FC" w:rsidRDefault="0E53A0FC" w:rsidP="7396C3A3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 w:rsidR="0E53A0FC" w14:paraId="3FF49CFA" w14:textId="77777777" w:rsidTr="7396C3A3">
        <w:trPr>
          <w:trHeight w:val="300"/>
        </w:trPr>
        <w:tc>
          <w:tcPr>
            <w:tcW w:w="405" w:type="dxa"/>
          </w:tcPr>
          <w:p w14:paraId="6C5918CE" w14:textId="15D020BF" w:rsidR="38FBBD73" w:rsidRDefault="38FBBD73" w:rsidP="0E53A0FC">
            <w:pPr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E53A0FC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17</w:t>
            </w:r>
          </w:p>
        </w:tc>
        <w:tc>
          <w:tcPr>
            <w:tcW w:w="1404" w:type="dxa"/>
          </w:tcPr>
          <w:p w14:paraId="57AAC7E7" w14:textId="180F809A" w:rsidR="38FBBD73" w:rsidRDefault="15EBD737" w:rsidP="0E53A0FC">
            <w:pPr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52D98186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Wendl et al., 2016</w:t>
            </w:r>
          </w:p>
        </w:tc>
        <w:tc>
          <w:tcPr>
            <w:tcW w:w="2160" w:type="dxa"/>
          </w:tcPr>
          <w:p w14:paraId="704F9A92" w14:textId="2B525E48" w:rsidR="0E53A0FC" w:rsidRDefault="15EBD737" w:rsidP="52D98186">
            <w:pPr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52D98186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Direct carotid cavernous sinus fistulae: vessel reconstruction using flow-diverting implants</w:t>
            </w:r>
          </w:p>
        </w:tc>
        <w:tc>
          <w:tcPr>
            <w:tcW w:w="1696" w:type="dxa"/>
          </w:tcPr>
          <w:p w14:paraId="4703B91B" w14:textId="61F85A2E" w:rsidR="0E53A0FC" w:rsidRDefault="050AAC58" w:rsidP="52D9818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52D981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 retrospectively evaluate the use of flow diverters (FDs) for the endovascular treatment of direct carotid-cavernous sinus fistulae (</w:t>
            </w:r>
            <w:proofErr w:type="spellStart"/>
            <w:r w:rsidRPr="52D981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diCCF</w:t>
            </w:r>
            <w:proofErr w:type="spellEnd"/>
            <w:r w:rsidRPr="52D981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).</w:t>
            </w:r>
          </w:p>
          <w:p w14:paraId="7F400023" w14:textId="020B5AAD" w:rsidR="0E53A0FC" w:rsidRDefault="050AAC58" w:rsidP="52D98186">
            <w:r w:rsidRPr="52D981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 assess the safety, effectiveness, and outcomes of FD placement alone or in combination with other endovascular techniques.</w:t>
            </w:r>
          </w:p>
          <w:p w14:paraId="5181564A" w14:textId="3486BF42" w:rsidR="0E53A0FC" w:rsidRDefault="050AAC58" w:rsidP="52D98186">
            <w:r w:rsidRPr="52D981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 explore whether FDs offer advantages over traditional methods like detachable balloons, coils, and covered stents.</w:t>
            </w:r>
          </w:p>
        </w:tc>
        <w:tc>
          <w:tcPr>
            <w:tcW w:w="3585" w:type="dxa"/>
          </w:tcPr>
          <w:p w14:paraId="263C08CD" w14:textId="2BDC3065" w:rsidR="0E53A0FC" w:rsidRDefault="050AAC58" w:rsidP="52D9818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14 consecutive patients from 2011 – 2015 who were diagnosed with </w:t>
            </w:r>
            <w:proofErr w:type="spellStart"/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diCCF</w:t>
            </w:r>
            <w:proofErr w:type="spellEnd"/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(type A CCF) via clinical symptoms (e.g., chemosis, exophthalmos, visual impairment) and confirmed using digital subtraction angiography (DSA).</w:t>
            </w:r>
          </w:p>
          <w:p w14:paraId="50FDBAD2" w14:textId="540CD01B" w:rsidR="0E53A0FC" w:rsidRDefault="0E53A0FC" w:rsidP="52D9818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0EC0ACEB" w14:textId="266AC6F7" w:rsidR="0E53A0FC" w:rsidRDefault="37288D5B" w:rsidP="52D9818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FD placement was performed in all patients.</w:t>
            </w:r>
          </w:p>
          <w:p w14:paraId="6D631680" w14:textId="7D201471" w:rsidR="0E53A0FC" w:rsidRDefault="37288D5B" w:rsidP="52D98186"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Some patients also received covered stents, coils, or both.</w:t>
            </w:r>
          </w:p>
          <w:p w14:paraId="24CE7A39" w14:textId="129787B4" w:rsidR="0E53A0FC" w:rsidRDefault="0E53A0FC" w:rsidP="52D9818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550928B2" w14:textId="791F2142" w:rsidR="0E53A0FC" w:rsidRDefault="37288D5B" w:rsidP="52D98186"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Dual platelet </w:t>
            </w:r>
            <w:r w:rsidR="718F6D83"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antiaggregating</w:t>
            </w:r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therapy was administered to prevent thrombosis.</w:t>
            </w:r>
          </w:p>
          <w:p w14:paraId="126A0545" w14:textId="42871BED" w:rsidR="0E53A0FC" w:rsidRDefault="37288D5B" w:rsidP="52D98186"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Treatment success was monitored via follow-up DSA and clinical evaluations at 3, 6, and 12 months, then annually.</w:t>
            </w:r>
          </w:p>
          <w:p w14:paraId="062DF310" w14:textId="4A709DC7" w:rsidR="0E53A0FC" w:rsidRDefault="37288D5B" w:rsidP="52D98186">
            <w:pPr>
              <w:rPr>
                <w:rStyle w:val="Strong"/>
                <w:rFonts w:ascii="Times New Roman" w:hAnsi="Times New Roman" w:cs="Times New Roman"/>
                <w:sz w:val="18"/>
                <w:szCs w:val="18"/>
              </w:rPr>
            </w:pPr>
            <w:r w:rsidRPr="52D98186">
              <w:rPr>
                <w:rStyle w:val="Strong"/>
                <w:rFonts w:ascii="Times New Roman" w:hAnsi="Times New Roman" w:cs="Times New Roman"/>
                <w:sz w:val="18"/>
                <w:szCs w:val="18"/>
              </w:rPr>
              <w:t>Primary Outcomes:</w:t>
            </w:r>
          </w:p>
          <w:p w14:paraId="0DA686A6" w14:textId="60F4B6DB" w:rsidR="0E53A0FC" w:rsidRDefault="37288D5B" w:rsidP="52D98186"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Angiographic success: Complete occlusion or reduction of the shunt.</w:t>
            </w:r>
          </w:p>
          <w:p w14:paraId="77A629BC" w14:textId="2C1491EE" w:rsidR="0E53A0FC" w:rsidRDefault="37288D5B" w:rsidP="52D98186">
            <w:r w:rsidRPr="52D98186">
              <w:rPr>
                <w:rStyle w:val="Strong"/>
                <w:rFonts w:ascii="Times New Roman" w:hAnsi="Times New Roman" w:cs="Times New Roman"/>
                <w:sz w:val="18"/>
                <w:szCs w:val="18"/>
              </w:rPr>
              <w:t>Clinical outcomes:</w:t>
            </w:r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  <w:p w14:paraId="24E9A040" w14:textId="2C9A7826" w:rsidR="0E53A0FC" w:rsidRDefault="37288D5B" w:rsidP="52D98186"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Resolution or improvement of symptoms (e.g., ocular symptoms, cranial nerve deficits).</w:t>
            </w:r>
          </w:p>
        </w:tc>
        <w:tc>
          <w:tcPr>
            <w:tcW w:w="2033" w:type="dxa"/>
          </w:tcPr>
          <w:p w14:paraId="68773380" w14:textId="0CBE2A1E" w:rsidR="0E53A0FC" w:rsidRDefault="050AAC58" w:rsidP="52D9818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FD placement was successfully achieved in all 14 patients without intra-procedural complications.</w:t>
            </w:r>
          </w:p>
          <w:p w14:paraId="33B2FDE2" w14:textId="70A53307" w:rsidR="0E53A0FC" w:rsidRDefault="0E53A0FC" w:rsidP="52D9818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35FF5310" w14:textId="19739A7A" w:rsidR="0E53A0FC" w:rsidRDefault="050AAC58" w:rsidP="52D98186"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FD alone: 5 patients.</w:t>
            </w:r>
          </w:p>
          <w:p w14:paraId="43002966" w14:textId="75C1EE39" w:rsidR="0E53A0FC" w:rsidRDefault="050AAC58" w:rsidP="52D98186"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FD + covered stents: 2 patients.</w:t>
            </w:r>
          </w:p>
          <w:p w14:paraId="04DCC4EF" w14:textId="606108AE" w:rsidR="0E53A0FC" w:rsidRDefault="050AAC58" w:rsidP="52D98186"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FD + coils: 7 patients.</w:t>
            </w:r>
          </w:p>
          <w:p w14:paraId="043CDB9C" w14:textId="268D52F1" w:rsidR="0E53A0FC" w:rsidRDefault="0E53A0FC" w:rsidP="52D9818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4AC61B7E" w14:textId="60E2245A" w:rsidR="0E53A0FC" w:rsidRDefault="050AAC58" w:rsidP="52D9818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3/14 cases (21%) achieved complete occlusion after the first session.</w:t>
            </w:r>
          </w:p>
          <w:p w14:paraId="67DE2235" w14:textId="5A38BF83" w:rsidR="0E53A0FC" w:rsidRDefault="050AAC58" w:rsidP="52D98186"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7/14 (50%) had minor residual shunting, and 4/14 (29%) showed significant reduction in shunt volume.</w:t>
            </w:r>
          </w:p>
          <w:p w14:paraId="1EB50771" w14:textId="3A38DFCD" w:rsidR="0E53A0FC" w:rsidRDefault="050AAC58" w:rsidP="52D98186"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Some cases required additional coil occlusion or further FD placement in follow-up sessions.</w:t>
            </w:r>
          </w:p>
          <w:p w14:paraId="03B8221D" w14:textId="2395FD16" w:rsidR="0E53A0FC" w:rsidRDefault="0E53A0FC" w:rsidP="52D9818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6B2FCDB8" w14:textId="021E7A38" w:rsidR="0E53A0FC" w:rsidRDefault="6107FBCB" w:rsidP="52D9818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10/14 patients (71%) were free of ocular symptoms at last follow-up.</w:t>
            </w:r>
          </w:p>
          <w:p w14:paraId="009CB85B" w14:textId="3E4E6933" w:rsidR="0E53A0FC" w:rsidRDefault="0E53A0FC" w:rsidP="52D9818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4EB4BA4C" w14:textId="7DE18606" w:rsidR="0E53A0FC" w:rsidRDefault="6107FBCB" w:rsidP="52D9818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 patients had residual mild exophthalmos</w:t>
            </w:r>
          </w:p>
          <w:p w14:paraId="505B3BC6" w14:textId="5F352F41" w:rsidR="0E53A0FC" w:rsidRDefault="0E53A0FC" w:rsidP="52D9818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1E749E45" w14:textId="3C2DA581" w:rsidR="0E53A0FC" w:rsidRDefault="13221E19" w:rsidP="52D9818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No patient experienced worsening of preexisting or new symptoms.</w:t>
            </w:r>
          </w:p>
        </w:tc>
        <w:tc>
          <w:tcPr>
            <w:tcW w:w="3276" w:type="dxa"/>
          </w:tcPr>
          <w:p w14:paraId="031CF0D9" w14:textId="0DE57161" w:rsidR="3F1ED592" w:rsidRDefault="3F1ED592" w:rsidP="7396C3A3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7396C3A3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Very small sample size (only 14 patients) severely limiting statistical significance</w:t>
            </w:r>
          </w:p>
          <w:p w14:paraId="7D2C6D82" w14:textId="6D0D565D" w:rsidR="3F1ED592" w:rsidRDefault="3F1ED592" w:rsidP="7396C3A3">
            <w:r w:rsidRPr="7396C3A3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Retrospective design without a control group</w:t>
            </w:r>
          </w:p>
          <w:p w14:paraId="061A6551" w14:textId="43D84DEC" w:rsidR="3F1ED592" w:rsidRDefault="3F1ED592" w:rsidP="7396C3A3">
            <w:r w:rsidRPr="7396C3A3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Heterogeneous treatment approaches making it difficult to isolate flow diverter effects</w:t>
            </w:r>
          </w:p>
          <w:p w14:paraId="174E8EEF" w14:textId="4334F42F" w:rsidR="3F1ED592" w:rsidRDefault="3F1ED592" w:rsidP="7396C3A3">
            <w:r w:rsidRPr="7396C3A3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Insufficient follow-up to detect long-term complications</w:t>
            </w:r>
          </w:p>
          <w:p w14:paraId="09B85C1E" w14:textId="59FE6AF5" w:rsidR="0E53A0FC" w:rsidRDefault="0E53A0FC" w:rsidP="52D9818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57B79A78" w14:textId="2AE67B8F" w:rsidR="0E53A0FC" w:rsidRDefault="0E53A0FC" w:rsidP="52D9818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 w:rsidR="0E53A0FC" w14:paraId="116D13BB" w14:textId="77777777" w:rsidTr="7396C3A3">
        <w:trPr>
          <w:trHeight w:val="300"/>
        </w:trPr>
        <w:tc>
          <w:tcPr>
            <w:tcW w:w="405" w:type="dxa"/>
          </w:tcPr>
          <w:p w14:paraId="27074604" w14:textId="68C8054A" w:rsidR="0E53A0FC" w:rsidRDefault="3A6E163B" w:rsidP="0E53A0FC">
            <w:pPr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3103C9F0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18</w:t>
            </w:r>
          </w:p>
        </w:tc>
        <w:tc>
          <w:tcPr>
            <w:tcW w:w="1404" w:type="dxa"/>
          </w:tcPr>
          <w:p w14:paraId="23DEC1DF" w14:textId="4B02B8A0" w:rsidR="0E53A0FC" w:rsidRDefault="5AFF3CF8" w:rsidP="0E53A0FC">
            <w:pPr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52D98186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Tanweer et al., 2014</w:t>
            </w:r>
          </w:p>
        </w:tc>
        <w:tc>
          <w:tcPr>
            <w:tcW w:w="2160" w:type="dxa"/>
          </w:tcPr>
          <w:p w14:paraId="2CA5C7A2" w14:textId="6C304643" w:rsidR="0E53A0FC" w:rsidRDefault="5AFF3CF8" w:rsidP="52D98186">
            <w:pPr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52D98186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 xml:space="preserve">Cavernous Carotid Aneurysms in the Era of Flow Diversion: A Need </w:t>
            </w:r>
            <w:r w:rsidRPr="52D98186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lastRenderedPageBreak/>
              <w:t>to Revisit Treatment Paradigms</w:t>
            </w:r>
          </w:p>
        </w:tc>
        <w:tc>
          <w:tcPr>
            <w:tcW w:w="1696" w:type="dxa"/>
          </w:tcPr>
          <w:p w14:paraId="2ADDDC72" w14:textId="178951C8" w:rsidR="0E53A0FC" w:rsidRDefault="5AFF3CF8" w:rsidP="52D9818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52D981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To evaluate the efficacy and safety of flow diversion </w:t>
            </w:r>
            <w:r w:rsidRPr="52D981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using the Pipeline Embolization Device (PED) in treating cavernous carotid aneurysms (CCAs).</w:t>
            </w:r>
          </w:p>
          <w:p w14:paraId="2AE93E12" w14:textId="6C2549AE" w:rsidR="0E53A0FC" w:rsidRDefault="5AFF3CF8" w:rsidP="52D98186">
            <w:r w:rsidRPr="52D981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To determine whether current treatment paradigms for CCAs should be revised </w:t>
            </w:r>
            <w:proofErr w:type="gramStart"/>
            <w:r w:rsidRPr="52D981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 light of</w:t>
            </w:r>
            <w:proofErr w:type="gramEnd"/>
            <w:r w:rsidRPr="52D981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newer, less invasive techniques.</w:t>
            </w:r>
          </w:p>
          <w:p w14:paraId="32DE97B0" w14:textId="0FC6926D" w:rsidR="0E53A0FC" w:rsidRDefault="5AFF3CF8" w:rsidP="52D98186">
            <w:r w:rsidRPr="52D981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 compare institutional data with a systematic literature review on the morbidity and mortality associated with flow diversion for CCAs.</w:t>
            </w:r>
          </w:p>
        </w:tc>
        <w:tc>
          <w:tcPr>
            <w:tcW w:w="3585" w:type="dxa"/>
          </w:tcPr>
          <w:p w14:paraId="23D972B3" w14:textId="3726763B" w:rsidR="0E53A0FC" w:rsidRDefault="5AFF3CF8" w:rsidP="52D9818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Retrospective institutional study and systematic review of literature on PED treatment for CCAs.</w:t>
            </w:r>
          </w:p>
          <w:p w14:paraId="1D698D32" w14:textId="3136ED22" w:rsidR="0E53A0FC" w:rsidRDefault="0E53A0FC" w:rsidP="52D9818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4F4F7C74" w14:textId="6E847DAF" w:rsidR="0E53A0FC" w:rsidRDefault="5AFF3CF8" w:rsidP="52D98186">
            <w:pPr>
              <w:rPr>
                <w:rStyle w:val="Strong"/>
                <w:rFonts w:ascii="Times New Roman" w:hAnsi="Times New Roman" w:cs="Times New Roman"/>
                <w:sz w:val="18"/>
                <w:szCs w:val="18"/>
              </w:rPr>
            </w:pPr>
            <w:r w:rsidRPr="52D98186">
              <w:rPr>
                <w:rStyle w:val="Strong"/>
                <w:rFonts w:ascii="Times New Roman" w:hAnsi="Times New Roman" w:cs="Times New Roman"/>
                <w:sz w:val="18"/>
                <w:szCs w:val="18"/>
              </w:rPr>
              <w:t>Institutional Study</w:t>
            </w:r>
          </w:p>
          <w:p w14:paraId="5688D515" w14:textId="139E5D02" w:rsidR="0E53A0FC" w:rsidRDefault="5AFF3CF8" w:rsidP="52D9818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43 CCAs treated at New York University using PEDs.</w:t>
            </w:r>
          </w:p>
          <w:p w14:paraId="1D63C2DB" w14:textId="16C6AA59" w:rsidR="0E53A0FC" w:rsidRDefault="5AFF3CF8" w:rsidP="52D98186"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Prospective data collection, but retrospective analysis.</w:t>
            </w:r>
          </w:p>
          <w:p w14:paraId="021D52C2" w14:textId="5BC97547" w:rsidR="0E53A0FC" w:rsidRDefault="5AFF3CF8" w:rsidP="52D98186"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Baseline demographics, clinical features, interventional data, and follow-up results recorded.</w:t>
            </w:r>
          </w:p>
          <w:p w14:paraId="452F9E63" w14:textId="06FA9785" w:rsidR="0E53A0FC" w:rsidRDefault="0E53A0FC" w:rsidP="52D9818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05C92427" w14:textId="68453B4E" w:rsidR="0E53A0FC" w:rsidRDefault="5AFF3CF8" w:rsidP="52D9818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PED placement with standard endovascular technique.</w:t>
            </w:r>
          </w:p>
          <w:p w14:paraId="7818BCF7" w14:textId="43A54E33" w:rsidR="0E53A0FC" w:rsidRDefault="5AFF3CF8" w:rsidP="52D98186"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Patients were pre-treated with antiplatelet therapy (clopidogrel and aspirin).</w:t>
            </w:r>
          </w:p>
          <w:p w14:paraId="078D5A79" w14:textId="667D1E55" w:rsidR="0E53A0FC" w:rsidRDefault="5AFF3CF8" w:rsidP="52D98186"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Follow-up angiography at 6, 12, and 36 months to assess aneurysm occlusion.</w:t>
            </w:r>
          </w:p>
          <w:p w14:paraId="6079C258" w14:textId="1524417B" w:rsidR="0E53A0FC" w:rsidRDefault="5AFF3CF8" w:rsidP="52D98186">
            <w:pPr>
              <w:rPr>
                <w:rStyle w:val="Strong"/>
                <w:rFonts w:ascii="Times New Roman" w:hAnsi="Times New Roman" w:cs="Times New Roman"/>
                <w:sz w:val="18"/>
                <w:szCs w:val="18"/>
              </w:rPr>
            </w:pPr>
            <w:r w:rsidRPr="52D98186">
              <w:rPr>
                <w:rStyle w:val="Strong"/>
                <w:rFonts w:ascii="Times New Roman" w:hAnsi="Times New Roman" w:cs="Times New Roman"/>
                <w:sz w:val="18"/>
                <w:szCs w:val="18"/>
              </w:rPr>
              <w:t>Systematic Review</w:t>
            </w:r>
          </w:p>
          <w:p w14:paraId="4AB1826A" w14:textId="44698536" w:rsidR="0E53A0FC" w:rsidRDefault="5AFF3CF8" w:rsidP="52D9818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Studies including ≥5 patients treated with flow diversion for CCAs.</w:t>
            </w:r>
          </w:p>
          <w:p w14:paraId="71582EBD" w14:textId="1D72B051" w:rsidR="0E53A0FC" w:rsidRDefault="5AFF3CF8" w:rsidP="52D98186"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Follow-up ≥3 months with complication/mortality data.</w:t>
            </w:r>
          </w:p>
          <w:p w14:paraId="68568925" w14:textId="34E1E020" w:rsidR="0E53A0FC" w:rsidRDefault="5AFF3CF8" w:rsidP="52D98186"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MEDLINE (PubMed) and EMBASE databases searched for relevant articles up to April 2013. With the following outcome measures:</w:t>
            </w:r>
          </w:p>
          <w:p w14:paraId="152D1DBF" w14:textId="296232F6" w:rsidR="0E53A0FC" w:rsidRDefault="5AFF3CF8" w:rsidP="52D98186"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Complete or near-complete aneurysm occlusion.</w:t>
            </w:r>
          </w:p>
          <w:p w14:paraId="69C37F2A" w14:textId="5CB7B055" w:rsidR="0E53A0FC" w:rsidRDefault="5AFF3CF8" w:rsidP="52D98186"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Complication rates (major morbidity, mortality).</w:t>
            </w:r>
          </w:p>
          <w:p w14:paraId="116190DC" w14:textId="79974371" w:rsidR="0E53A0FC" w:rsidRDefault="5AFF3CF8" w:rsidP="52D98186"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Visual outcomes in symptomatic patients.</w:t>
            </w:r>
          </w:p>
        </w:tc>
        <w:tc>
          <w:tcPr>
            <w:tcW w:w="2033" w:type="dxa"/>
          </w:tcPr>
          <w:p w14:paraId="426586E9" w14:textId="5D855635" w:rsidR="0E53A0FC" w:rsidRDefault="5AFF3CF8" w:rsidP="52D9818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43 CCAs in 41 patients.</w:t>
            </w:r>
          </w:p>
          <w:p w14:paraId="3529FA6A" w14:textId="6E25FE43" w:rsidR="0E53A0FC" w:rsidRDefault="0E53A0FC" w:rsidP="52D9818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794289CB" w14:textId="0226E003" w:rsidR="0E53A0FC" w:rsidRDefault="5AFF3CF8" w:rsidP="52D9818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57 ± 14.2 years. (84.1% </w:t>
            </w:r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female)</w:t>
            </w:r>
          </w:p>
          <w:p w14:paraId="68BFEC0B" w14:textId="69342344" w:rsidR="0E53A0FC" w:rsidRDefault="0E53A0FC" w:rsidP="52D9818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5311A47C" w14:textId="62919EF2" w:rsidR="0E53A0FC" w:rsidRDefault="5AFF3CF8" w:rsidP="52D9818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Presenting Symptoms:</w:t>
            </w:r>
          </w:p>
          <w:p w14:paraId="2DCCA462" w14:textId="6314CD6C" w:rsidR="0E53A0FC" w:rsidRDefault="5AFF3CF8" w:rsidP="52D98186"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Visual disturbances (diplopia, visual field deficits): 65.1%.</w:t>
            </w:r>
          </w:p>
          <w:p w14:paraId="68C3BCC8" w14:textId="0D779558" w:rsidR="0E53A0FC" w:rsidRDefault="5AFF3CF8" w:rsidP="52D98186"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Headaches: 16.3%.</w:t>
            </w:r>
          </w:p>
          <w:p w14:paraId="1AEB77A1" w14:textId="2F5ED848" w:rsidR="0E53A0FC" w:rsidRDefault="5AFF3CF8" w:rsidP="52D98186"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Incidental findings: 9.3%.</w:t>
            </w:r>
          </w:p>
          <w:p w14:paraId="421B18E8" w14:textId="54821EE4" w:rsidR="0E53A0FC" w:rsidRDefault="0E53A0FC" w:rsidP="52D9818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3B5B132C" w14:textId="4B9FFB1E" w:rsidR="0E53A0FC" w:rsidRDefault="5AFF3CF8" w:rsidP="52D9818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Aneurysm Characteristics:</w:t>
            </w:r>
          </w:p>
          <w:p w14:paraId="56E1FC52" w14:textId="349D0B98" w:rsidR="0E53A0FC" w:rsidRDefault="5AFF3CF8" w:rsidP="52D98186"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Large aneurysms (10–25 mm): 53.5%.</w:t>
            </w:r>
          </w:p>
          <w:p w14:paraId="1F16268C" w14:textId="6417C8D3" w:rsidR="0E53A0FC" w:rsidRDefault="5AFF3CF8" w:rsidP="52D98186"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Giant aneurysms (&gt;25 mm): 46.5%.</w:t>
            </w:r>
          </w:p>
          <w:p w14:paraId="3AF6BF9A" w14:textId="1D6805DC" w:rsidR="0E53A0FC" w:rsidRDefault="5AFF3CF8" w:rsidP="52D98186"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Mean aneurysm size: 24.3 ± 9.7 mm.</w:t>
            </w:r>
          </w:p>
          <w:p w14:paraId="5BE01CB5" w14:textId="7DE64627" w:rsidR="0E53A0FC" w:rsidRDefault="5AFF3CF8" w:rsidP="52D98186"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Mean neck size: 13.6 ± 11.6 mm.</w:t>
            </w:r>
          </w:p>
          <w:p w14:paraId="2F7B2B93" w14:textId="5AA640E5" w:rsidR="0E53A0FC" w:rsidRDefault="0E53A0FC" w:rsidP="52D9818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6321147A" w14:textId="36AD79C3" w:rsidR="0E53A0FC" w:rsidRDefault="5AFF3CF8" w:rsidP="52D9818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All PEDs were successfully deployed without major technical complications.</w:t>
            </w:r>
          </w:p>
          <w:p w14:paraId="3FE1EE4E" w14:textId="07677F83" w:rsidR="0E53A0FC" w:rsidRDefault="0E53A0FC" w:rsidP="52D9818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2434A675" w14:textId="494D9823" w:rsidR="0E53A0FC" w:rsidRDefault="5AFF3CF8" w:rsidP="52D9818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Complete or near-complete aneurysm occlusion:</w:t>
            </w:r>
          </w:p>
          <w:p w14:paraId="2B92BF22" w14:textId="6C70F5E1" w:rsidR="0E53A0FC" w:rsidRDefault="5AFF3CF8" w:rsidP="52D98186"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6 months: 81.4%.</w:t>
            </w:r>
          </w:p>
          <w:p w14:paraId="5AC8D10B" w14:textId="76CFEAE6" w:rsidR="0E53A0FC" w:rsidRDefault="5AFF3CF8" w:rsidP="52D98186"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12 months: 89.7%.</w:t>
            </w:r>
          </w:p>
          <w:p w14:paraId="19E1CB70" w14:textId="11A33292" w:rsidR="0E53A0FC" w:rsidRDefault="5AFF3CF8" w:rsidP="52D98186"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36 months: 100%.</w:t>
            </w:r>
          </w:p>
          <w:p w14:paraId="54FE02E8" w14:textId="475252E1" w:rsidR="0E53A0FC" w:rsidRDefault="5AFF3CF8" w:rsidP="52D98186"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No PED migration or aneurysm expansion was observed.</w:t>
            </w:r>
          </w:p>
          <w:p w14:paraId="7C52EBEE" w14:textId="57DC7BA6" w:rsidR="0E53A0FC" w:rsidRDefault="5AFF3CF8" w:rsidP="52D98186"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In-stent stenosis (&gt;50% narrowing) was detected in 4 patients (9.3%), all asymptomatic.</w:t>
            </w:r>
          </w:p>
          <w:p w14:paraId="407E93EC" w14:textId="34D0FE2A" w:rsidR="0E53A0FC" w:rsidRDefault="0E53A0FC" w:rsidP="52D9818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4EC4C423" w14:textId="5E2C92FB" w:rsidR="0E53A0FC" w:rsidRDefault="5AFF3CF8" w:rsidP="52D9818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Mortality rate: 0%.</w:t>
            </w:r>
          </w:p>
          <w:p w14:paraId="151348A1" w14:textId="19623F87" w:rsidR="0E53A0FC" w:rsidRDefault="5AFF3CF8" w:rsidP="52D98186"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Major neurologic complication rate: 2.3% (1 patient had an intraoperative subarachnoid </w:t>
            </w:r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hemorrhage).</w:t>
            </w:r>
          </w:p>
          <w:p w14:paraId="6073E349" w14:textId="100B80FB" w:rsidR="0E53A0FC" w:rsidRDefault="5AFF3CF8" w:rsidP="52D98186"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Transient neurologic deficits: 3 cases.</w:t>
            </w:r>
          </w:p>
          <w:p w14:paraId="083AB897" w14:textId="35C44B47" w:rsidR="0E53A0FC" w:rsidRDefault="5AFF3CF8" w:rsidP="52D98186"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Neuro-ophthalmologic improvements:</w:t>
            </w:r>
          </w:p>
          <w:p w14:paraId="5C85411F" w14:textId="54855CB9" w:rsidR="0E53A0FC" w:rsidRDefault="5AFF3CF8" w:rsidP="52D98186"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84.2% of symptomatic patients had visual improvement.</w:t>
            </w:r>
          </w:p>
          <w:p w14:paraId="616B92F1" w14:textId="228FC085" w:rsidR="0E53A0FC" w:rsidRDefault="5AFF3CF8" w:rsidP="52D98186"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No cases of visual worsening.</w:t>
            </w:r>
          </w:p>
          <w:p w14:paraId="7978FEB5" w14:textId="35216A5D" w:rsidR="0E53A0FC" w:rsidRDefault="5AFF3CF8" w:rsidP="52D98186">
            <w:r w:rsidRPr="52D98186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 case of carotid-cavernous fistula (CCF) detected at 6-month follow-up.</w:t>
            </w:r>
          </w:p>
          <w:p w14:paraId="70C00EE1" w14:textId="605EF9C0" w:rsidR="0E53A0FC" w:rsidRDefault="0E53A0FC" w:rsidP="52D98186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76" w:type="dxa"/>
          </w:tcPr>
          <w:p w14:paraId="2F8BD84E" w14:textId="0731F197" w:rsidR="0E53A0FC" w:rsidRDefault="30C65C68" w:rsidP="7396C3A3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7396C3A3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Limited sample size (43 CCAs) from a single institution</w:t>
            </w:r>
          </w:p>
          <w:p w14:paraId="1D07C16A" w14:textId="2EEEE261" w:rsidR="0E53A0FC" w:rsidRDefault="30C65C68" w:rsidP="7396C3A3">
            <w:r w:rsidRPr="7396C3A3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Gender imbalance (84.1% female) </w:t>
            </w:r>
            <w:r w:rsidRPr="7396C3A3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restricting generalizability</w:t>
            </w:r>
          </w:p>
          <w:p w14:paraId="5298A85F" w14:textId="3C8A19E3" w:rsidR="0E53A0FC" w:rsidRDefault="30C65C68" w:rsidP="7396C3A3">
            <w:r w:rsidRPr="7396C3A3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Retrospective analysis introducing potential selection bias</w:t>
            </w:r>
          </w:p>
          <w:p w14:paraId="3F8D470D" w14:textId="183E57B2" w:rsidR="0E53A0FC" w:rsidRDefault="30C65C68" w:rsidP="7396C3A3">
            <w:r w:rsidRPr="7396C3A3"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Lack of direct comparison with alternative treatment modalities</w:t>
            </w:r>
          </w:p>
        </w:tc>
      </w:tr>
    </w:tbl>
    <w:p w14:paraId="0756992A" w14:textId="48143009" w:rsidR="00D20188" w:rsidRPr="000D08B6" w:rsidRDefault="00D20188">
      <w:pPr>
        <w:rPr>
          <w:rFonts w:ascii="Times New Roman" w:hAnsi="Times New Roman" w:cs="Times New Roman"/>
          <w:sz w:val="18"/>
          <w:szCs w:val="18"/>
        </w:rPr>
      </w:pPr>
    </w:p>
    <w:sectPr w:rsidR="00D20188" w:rsidRPr="000D08B6" w:rsidSect="00FD5645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B5C90" w14:textId="77777777" w:rsidR="00EC1849" w:rsidRDefault="00EC1849">
      <w:pPr>
        <w:spacing w:after="0" w:line="240" w:lineRule="auto"/>
      </w:pPr>
      <w:r>
        <w:separator/>
      </w:r>
    </w:p>
  </w:endnote>
  <w:endnote w:type="continuationSeparator" w:id="0">
    <w:p w14:paraId="6DBBA1C9" w14:textId="77777777" w:rsidR="00EC1849" w:rsidRDefault="00EC1849">
      <w:pPr>
        <w:spacing w:after="0" w:line="240" w:lineRule="auto"/>
      </w:pPr>
      <w:r>
        <w:continuationSeparator/>
      </w:r>
    </w:p>
  </w:endnote>
  <w:endnote w:type="continuationNotice" w:id="1">
    <w:p w14:paraId="7F050408" w14:textId="77777777" w:rsidR="006836D5" w:rsidRDefault="006836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E53A0FC" w14:paraId="559A3428" w14:textId="77777777" w:rsidTr="0E53A0FC">
      <w:trPr>
        <w:trHeight w:val="300"/>
      </w:trPr>
      <w:tc>
        <w:tcPr>
          <w:tcW w:w="3600" w:type="dxa"/>
        </w:tcPr>
        <w:p w14:paraId="43C9D84D" w14:textId="1B3CFF1B" w:rsidR="0E53A0FC" w:rsidRDefault="0E53A0FC" w:rsidP="0E53A0FC">
          <w:pPr>
            <w:pStyle w:val="Header"/>
            <w:ind w:left="-115"/>
          </w:pPr>
        </w:p>
      </w:tc>
      <w:tc>
        <w:tcPr>
          <w:tcW w:w="3600" w:type="dxa"/>
        </w:tcPr>
        <w:p w14:paraId="50BB5918" w14:textId="03425F28" w:rsidR="0E53A0FC" w:rsidRDefault="0E53A0FC" w:rsidP="0E53A0FC">
          <w:pPr>
            <w:pStyle w:val="Header"/>
            <w:jc w:val="center"/>
          </w:pPr>
        </w:p>
      </w:tc>
      <w:tc>
        <w:tcPr>
          <w:tcW w:w="3600" w:type="dxa"/>
        </w:tcPr>
        <w:p w14:paraId="1F255364" w14:textId="09A23177" w:rsidR="0E53A0FC" w:rsidRDefault="0E53A0FC" w:rsidP="0E53A0FC">
          <w:pPr>
            <w:pStyle w:val="Header"/>
            <w:ind w:right="-115"/>
            <w:jc w:val="right"/>
          </w:pPr>
        </w:p>
      </w:tc>
    </w:tr>
  </w:tbl>
  <w:p w14:paraId="02E08829" w14:textId="1365C91E" w:rsidR="0E53A0FC" w:rsidRDefault="0E53A0FC" w:rsidP="0E53A0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2DFEC" w14:textId="77777777" w:rsidR="00EC1849" w:rsidRDefault="00EC1849">
      <w:pPr>
        <w:spacing w:after="0" w:line="240" w:lineRule="auto"/>
      </w:pPr>
      <w:r>
        <w:separator/>
      </w:r>
    </w:p>
  </w:footnote>
  <w:footnote w:type="continuationSeparator" w:id="0">
    <w:p w14:paraId="3921A588" w14:textId="77777777" w:rsidR="00EC1849" w:rsidRDefault="00EC1849">
      <w:pPr>
        <w:spacing w:after="0" w:line="240" w:lineRule="auto"/>
      </w:pPr>
      <w:r>
        <w:continuationSeparator/>
      </w:r>
    </w:p>
  </w:footnote>
  <w:footnote w:type="continuationNotice" w:id="1">
    <w:p w14:paraId="1FC123E0" w14:textId="77777777" w:rsidR="006836D5" w:rsidRDefault="006836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E53A0FC" w14:paraId="7E1DDD9D" w14:textId="77777777" w:rsidTr="0E53A0FC">
      <w:trPr>
        <w:trHeight w:val="300"/>
      </w:trPr>
      <w:tc>
        <w:tcPr>
          <w:tcW w:w="3600" w:type="dxa"/>
        </w:tcPr>
        <w:p w14:paraId="35679E92" w14:textId="42681812" w:rsidR="0E53A0FC" w:rsidRDefault="0E53A0FC" w:rsidP="0E53A0FC">
          <w:pPr>
            <w:pStyle w:val="Header"/>
            <w:ind w:left="-115"/>
          </w:pPr>
        </w:p>
      </w:tc>
      <w:tc>
        <w:tcPr>
          <w:tcW w:w="3600" w:type="dxa"/>
        </w:tcPr>
        <w:p w14:paraId="255FEB51" w14:textId="48A55545" w:rsidR="0E53A0FC" w:rsidRDefault="0E53A0FC" w:rsidP="0E53A0FC">
          <w:pPr>
            <w:pStyle w:val="Header"/>
            <w:jc w:val="center"/>
          </w:pPr>
        </w:p>
      </w:tc>
      <w:tc>
        <w:tcPr>
          <w:tcW w:w="3600" w:type="dxa"/>
        </w:tcPr>
        <w:p w14:paraId="11176B52" w14:textId="5790A46F" w:rsidR="0E53A0FC" w:rsidRDefault="0E53A0FC" w:rsidP="0E53A0FC">
          <w:pPr>
            <w:pStyle w:val="Header"/>
            <w:ind w:right="-115"/>
            <w:jc w:val="right"/>
          </w:pPr>
        </w:p>
      </w:tc>
    </w:tr>
  </w:tbl>
  <w:p w14:paraId="06FC5D40" w14:textId="715C3E72" w:rsidR="0E53A0FC" w:rsidRDefault="0E53A0FC" w:rsidP="0E53A0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E84BBA"/>
    <w:multiLevelType w:val="multilevel"/>
    <w:tmpl w:val="DE6E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B364DD"/>
    <w:multiLevelType w:val="multilevel"/>
    <w:tmpl w:val="932E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241234"/>
    <w:multiLevelType w:val="multilevel"/>
    <w:tmpl w:val="1F20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8B244F"/>
    <w:multiLevelType w:val="multilevel"/>
    <w:tmpl w:val="4E08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0237D7"/>
    <w:multiLevelType w:val="multilevel"/>
    <w:tmpl w:val="FC22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5B0320"/>
    <w:multiLevelType w:val="multilevel"/>
    <w:tmpl w:val="3D7C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4015101">
    <w:abstractNumId w:val="8"/>
  </w:num>
  <w:num w:numId="2" w16cid:durableId="941762705">
    <w:abstractNumId w:val="6"/>
  </w:num>
  <w:num w:numId="3" w16cid:durableId="910693833">
    <w:abstractNumId w:val="5"/>
  </w:num>
  <w:num w:numId="4" w16cid:durableId="1109397120">
    <w:abstractNumId w:val="4"/>
  </w:num>
  <w:num w:numId="5" w16cid:durableId="1147208060">
    <w:abstractNumId w:val="7"/>
  </w:num>
  <w:num w:numId="6" w16cid:durableId="552691150">
    <w:abstractNumId w:val="3"/>
  </w:num>
  <w:num w:numId="7" w16cid:durableId="878860793">
    <w:abstractNumId w:val="2"/>
  </w:num>
  <w:num w:numId="8" w16cid:durableId="1269701309">
    <w:abstractNumId w:val="1"/>
  </w:num>
  <w:num w:numId="9" w16cid:durableId="503669352">
    <w:abstractNumId w:val="0"/>
  </w:num>
  <w:num w:numId="10" w16cid:durableId="1388608000">
    <w:abstractNumId w:val="14"/>
  </w:num>
  <w:num w:numId="11" w16cid:durableId="728502263">
    <w:abstractNumId w:val="10"/>
  </w:num>
  <w:num w:numId="12" w16cid:durableId="633605033">
    <w:abstractNumId w:val="12"/>
  </w:num>
  <w:num w:numId="13" w16cid:durableId="457920621">
    <w:abstractNumId w:val="13"/>
  </w:num>
  <w:num w:numId="14" w16cid:durableId="661079174">
    <w:abstractNumId w:val="11"/>
  </w:num>
  <w:num w:numId="15" w16cid:durableId="6624696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A1E1A"/>
    <w:rsid w:val="000B0059"/>
    <w:rsid w:val="000D08B6"/>
    <w:rsid w:val="000F7C23"/>
    <w:rsid w:val="0015074B"/>
    <w:rsid w:val="0029639D"/>
    <w:rsid w:val="00326F90"/>
    <w:rsid w:val="003350C3"/>
    <w:rsid w:val="00352912"/>
    <w:rsid w:val="00406016"/>
    <w:rsid w:val="00412205"/>
    <w:rsid w:val="00414ED1"/>
    <w:rsid w:val="00441CAE"/>
    <w:rsid w:val="00452BCE"/>
    <w:rsid w:val="00462683"/>
    <w:rsid w:val="004765C5"/>
    <w:rsid w:val="004A4E82"/>
    <w:rsid w:val="004B025F"/>
    <w:rsid w:val="004C7727"/>
    <w:rsid w:val="004C7D6C"/>
    <w:rsid w:val="004D5E83"/>
    <w:rsid w:val="0050E1D3"/>
    <w:rsid w:val="00513E32"/>
    <w:rsid w:val="005D183C"/>
    <w:rsid w:val="0062078B"/>
    <w:rsid w:val="0063472A"/>
    <w:rsid w:val="00644629"/>
    <w:rsid w:val="006836D5"/>
    <w:rsid w:val="00691779"/>
    <w:rsid w:val="00697078"/>
    <w:rsid w:val="006A282F"/>
    <w:rsid w:val="006E37B9"/>
    <w:rsid w:val="007D61BF"/>
    <w:rsid w:val="007E4F31"/>
    <w:rsid w:val="00820A23"/>
    <w:rsid w:val="0082264A"/>
    <w:rsid w:val="00841BD6"/>
    <w:rsid w:val="008A3A79"/>
    <w:rsid w:val="008C0480"/>
    <w:rsid w:val="008E7149"/>
    <w:rsid w:val="00917AD9"/>
    <w:rsid w:val="009C6945"/>
    <w:rsid w:val="009D47A7"/>
    <w:rsid w:val="009E2505"/>
    <w:rsid w:val="00A37982"/>
    <w:rsid w:val="00A90A0D"/>
    <w:rsid w:val="00AA1D8D"/>
    <w:rsid w:val="00AA3C5D"/>
    <w:rsid w:val="00AC2B76"/>
    <w:rsid w:val="00AD17DD"/>
    <w:rsid w:val="00B47730"/>
    <w:rsid w:val="00BA1AC2"/>
    <w:rsid w:val="00BB2A75"/>
    <w:rsid w:val="00BC3C23"/>
    <w:rsid w:val="00BD753C"/>
    <w:rsid w:val="00C06039"/>
    <w:rsid w:val="00C10A53"/>
    <w:rsid w:val="00C54A30"/>
    <w:rsid w:val="00CB0664"/>
    <w:rsid w:val="00CB7B60"/>
    <w:rsid w:val="00CD3128"/>
    <w:rsid w:val="00D0546C"/>
    <w:rsid w:val="00D07853"/>
    <w:rsid w:val="00D20188"/>
    <w:rsid w:val="00D302F8"/>
    <w:rsid w:val="00D932A2"/>
    <w:rsid w:val="00DB01C7"/>
    <w:rsid w:val="00DC18AF"/>
    <w:rsid w:val="00DD3CF5"/>
    <w:rsid w:val="00DD4AB6"/>
    <w:rsid w:val="00DE0BC0"/>
    <w:rsid w:val="00DE5BD3"/>
    <w:rsid w:val="00DF7456"/>
    <w:rsid w:val="00E60342"/>
    <w:rsid w:val="00E70622"/>
    <w:rsid w:val="00EA704A"/>
    <w:rsid w:val="00EA7370"/>
    <w:rsid w:val="00EC1849"/>
    <w:rsid w:val="00F34853"/>
    <w:rsid w:val="00F83FC9"/>
    <w:rsid w:val="00FC19B4"/>
    <w:rsid w:val="00FC693F"/>
    <w:rsid w:val="00FD5645"/>
    <w:rsid w:val="0219ABCA"/>
    <w:rsid w:val="0255D564"/>
    <w:rsid w:val="0489828C"/>
    <w:rsid w:val="050AAC58"/>
    <w:rsid w:val="057E58A0"/>
    <w:rsid w:val="0908EEC0"/>
    <w:rsid w:val="090C69A9"/>
    <w:rsid w:val="09F3ABB8"/>
    <w:rsid w:val="0A58E43D"/>
    <w:rsid w:val="0C3D1813"/>
    <w:rsid w:val="0C6D4E30"/>
    <w:rsid w:val="0CCF1C95"/>
    <w:rsid w:val="0D42B5C9"/>
    <w:rsid w:val="0D881BE3"/>
    <w:rsid w:val="0E53A0FC"/>
    <w:rsid w:val="0F0BA065"/>
    <w:rsid w:val="10356DE5"/>
    <w:rsid w:val="118A250F"/>
    <w:rsid w:val="12CAE191"/>
    <w:rsid w:val="13221E19"/>
    <w:rsid w:val="1420BD73"/>
    <w:rsid w:val="15EBD737"/>
    <w:rsid w:val="19447DD0"/>
    <w:rsid w:val="1CF8E567"/>
    <w:rsid w:val="1DE3C75E"/>
    <w:rsid w:val="1F4786BE"/>
    <w:rsid w:val="21A92F55"/>
    <w:rsid w:val="22359274"/>
    <w:rsid w:val="22B0ED45"/>
    <w:rsid w:val="22E8BE78"/>
    <w:rsid w:val="22FA4D87"/>
    <w:rsid w:val="2413F20F"/>
    <w:rsid w:val="2529BC59"/>
    <w:rsid w:val="2B0AFA68"/>
    <w:rsid w:val="2B2E207D"/>
    <w:rsid w:val="2B6B46FB"/>
    <w:rsid w:val="2BF8880F"/>
    <w:rsid w:val="2D4B5459"/>
    <w:rsid w:val="2D7A1B90"/>
    <w:rsid w:val="2FF06B2E"/>
    <w:rsid w:val="30C65C68"/>
    <w:rsid w:val="3103C9F0"/>
    <w:rsid w:val="311AB5AE"/>
    <w:rsid w:val="31F6E99E"/>
    <w:rsid w:val="3477742D"/>
    <w:rsid w:val="3499C73C"/>
    <w:rsid w:val="352B6D5C"/>
    <w:rsid w:val="35705766"/>
    <w:rsid w:val="35DC246C"/>
    <w:rsid w:val="37288D5B"/>
    <w:rsid w:val="38FBBD73"/>
    <w:rsid w:val="39AD6A7E"/>
    <w:rsid w:val="3A6E163B"/>
    <w:rsid w:val="3C0D5648"/>
    <w:rsid w:val="3D64B1F2"/>
    <w:rsid w:val="3F1ED592"/>
    <w:rsid w:val="42EF8D71"/>
    <w:rsid w:val="431166B8"/>
    <w:rsid w:val="4417093F"/>
    <w:rsid w:val="462BAF1B"/>
    <w:rsid w:val="4B566862"/>
    <w:rsid w:val="4DB78834"/>
    <w:rsid w:val="4EFC8CA3"/>
    <w:rsid w:val="4F659AB8"/>
    <w:rsid w:val="50219E12"/>
    <w:rsid w:val="50C6CF0E"/>
    <w:rsid w:val="52D98186"/>
    <w:rsid w:val="54353897"/>
    <w:rsid w:val="58334DAE"/>
    <w:rsid w:val="5A55DF5D"/>
    <w:rsid w:val="5AFF3CF8"/>
    <w:rsid w:val="5BC15DDC"/>
    <w:rsid w:val="5CB7FE0B"/>
    <w:rsid w:val="5E224F33"/>
    <w:rsid w:val="5F86CD93"/>
    <w:rsid w:val="602A11F3"/>
    <w:rsid w:val="6107FBCB"/>
    <w:rsid w:val="61CFFCDB"/>
    <w:rsid w:val="62E0B5C7"/>
    <w:rsid w:val="6348331A"/>
    <w:rsid w:val="6594235E"/>
    <w:rsid w:val="65A365E4"/>
    <w:rsid w:val="665BA63E"/>
    <w:rsid w:val="66859C9D"/>
    <w:rsid w:val="68646A14"/>
    <w:rsid w:val="6AB8E1D2"/>
    <w:rsid w:val="6AE0038D"/>
    <w:rsid w:val="6B1C04C8"/>
    <w:rsid w:val="6C95B1D9"/>
    <w:rsid w:val="6DA2E5D4"/>
    <w:rsid w:val="6EC739E3"/>
    <w:rsid w:val="6FBC0E19"/>
    <w:rsid w:val="706EDDBA"/>
    <w:rsid w:val="718F6D83"/>
    <w:rsid w:val="721CC72B"/>
    <w:rsid w:val="7396C3A3"/>
    <w:rsid w:val="74A80001"/>
    <w:rsid w:val="7597B9EC"/>
    <w:rsid w:val="7741E630"/>
    <w:rsid w:val="77672172"/>
    <w:rsid w:val="78A2736A"/>
    <w:rsid w:val="78FFDB77"/>
    <w:rsid w:val="7BD03A4F"/>
    <w:rsid w:val="7BEE293B"/>
    <w:rsid w:val="7D5D3518"/>
    <w:rsid w:val="7FA3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5698D5"/>
  <w14:defaultImageDpi w14:val="300"/>
  <w15:docId w15:val="{C7FED35B-B35C-4063-94CB-19B0603B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apple-converted-space">
    <w:name w:val="apple-converted-space"/>
    <w:basedOn w:val="DefaultParagraphFont"/>
    <w:rsid w:val="00BD753C"/>
  </w:style>
  <w:style w:type="character" w:styleId="Hyperlink">
    <w:name w:val="Hyperlink"/>
    <w:basedOn w:val="DefaultParagraphFont"/>
    <w:uiPriority w:val="99"/>
    <w:unhideWhenUsed/>
    <w:rsid w:val="0E53A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DE6EBE9F4AF4882CE2C5A49053B39" ma:contentTypeVersion="13" ma:contentTypeDescription="Create a new document." ma:contentTypeScope="" ma:versionID="237966c213bf01bee16f3010320fa7d1">
  <xsd:schema xmlns:xsd="http://www.w3.org/2001/XMLSchema" xmlns:xs="http://www.w3.org/2001/XMLSchema" xmlns:p="http://schemas.microsoft.com/office/2006/metadata/properties" xmlns:ns2="6443aedf-e414-4f53-9630-ccffb4d875f0" targetNamespace="http://schemas.microsoft.com/office/2006/metadata/properties" ma:root="true" ma:fieldsID="37dd6bc5adb79845f617f7b0bee0758c" ns2:_="">
    <xsd:import namespace="6443aedf-e414-4f53-9630-ccffb4d875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3aedf-e414-4f53-9630-ccffb4d87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406f274-7af8-4e05-8564-eff9e2e21b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43aedf-e414-4f53-9630-ccffb4d875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A1EFCA-8ED9-4FDA-A66C-D9610DD62FF0}"/>
</file>

<file path=customXml/itemProps2.xml><?xml version="1.0" encoding="utf-8"?>
<ds:datastoreItem xmlns:ds="http://schemas.openxmlformats.org/officeDocument/2006/customXml" ds:itemID="{AF0A1A93-B6B5-429B-8F2E-B3D3B9B99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5542E5-1EA8-4479-85E6-8EB0169FAA47}">
  <ds:schemaRefs>
    <ds:schemaRef ds:uri="http://schemas.microsoft.com/office/2006/metadata/properties"/>
    <ds:schemaRef ds:uri="http://schemas.microsoft.com/office/infopath/2007/PartnerControls"/>
    <ds:schemaRef ds:uri="6443aedf-e414-4f53-9630-ccffb4d875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3304</Words>
  <Characters>18835</Characters>
  <Application>Microsoft Office Word</Application>
  <DocSecurity>0</DocSecurity>
  <Lines>156</Lines>
  <Paragraphs>44</Paragraphs>
  <ScaleCrop>false</ScaleCrop>
  <Manager/>
  <Company/>
  <LinksUpToDate>false</LinksUpToDate>
  <CharactersWithSpaces>22095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Herthika Sivasuntharampillai</cp:lastModifiedBy>
  <cp:revision>64</cp:revision>
  <dcterms:created xsi:type="dcterms:W3CDTF">2013-12-23T23:15:00Z</dcterms:created>
  <dcterms:modified xsi:type="dcterms:W3CDTF">2025-04-22T02:31:00Z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0x0101004DDDE6EBE9F4AF4882CE2C5A49053B39</vt:lpwstr>
  </property>
  <property fmtid="{D5CDD505-2E9C-101B-9397-08002B2CF9AE}" pid="3" name="MediaServiceImageTags">
    <vt:lpwstr/>
  </property>
</Properties>
</file>